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D267" w14:textId="77777777" w:rsidR="00FE0A4C" w:rsidRDefault="00FE0A4C" w:rsidP="00FE0A4C">
      <w:pPr>
        <w:pStyle w:val="paragraph"/>
        <w:numPr>
          <w:ilvl w:val="0"/>
          <w:numId w:val="1"/>
        </w:numPr>
        <w:spacing w:before="0" w:beforeAutospacing="0" w:after="0" w:afterAutospacing="0"/>
        <w:ind w:left="1005" w:firstLine="0"/>
        <w:textAlignment w:val="baseline"/>
        <w:rPr>
          <w:rFonts w:ascii="Arial" w:hAnsi="Arial" w:cs="Arial"/>
          <w:sz w:val="22"/>
          <w:szCs w:val="22"/>
        </w:rPr>
      </w:pPr>
      <w:r>
        <w:rPr>
          <w:rStyle w:val="normaltextrun"/>
          <w:rFonts w:ascii="Arial" w:eastAsiaTheme="majorEastAsia" w:hAnsi="Arial" w:cs="Arial"/>
          <w:sz w:val="22"/>
          <w:szCs w:val="22"/>
        </w:rPr>
        <w:t>Holiday Leave</w:t>
      </w:r>
      <w:r>
        <w:rPr>
          <w:rStyle w:val="eop"/>
          <w:rFonts w:ascii="Arial" w:eastAsiaTheme="majorEastAsia" w:hAnsi="Arial" w:cs="Arial"/>
          <w:sz w:val="22"/>
          <w:szCs w:val="22"/>
        </w:rPr>
        <w:t> </w:t>
      </w:r>
    </w:p>
    <w:p w14:paraId="4CE5B1FA" w14:textId="77777777" w:rsidR="00FE0A4C" w:rsidRDefault="00FE0A4C" w:rsidP="00FE0A4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2E9A7B4" w14:textId="77777777" w:rsidR="00FE0A4C" w:rsidRDefault="00FE0A4C" w:rsidP="00FE0A4C">
      <w:pPr>
        <w:pStyle w:val="paragraph"/>
        <w:numPr>
          <w:ilvl w:val="0"/>
          <w:numId w:val="2"/>
        </w:numPr>
        <w:spacing w:before="0" w:beforeAutospacing="0" w:after="0" w:afterAutospacing="0"/>
        <w:ind w:left="1725" w:firstLine="0"/>
        <w:jc w:val="both"/>
        <w:textAlignment w:val="baseline"/>
        <w:rPr>
          <w:rFonts w:ascii="Arial" w:hAnsi="Arial" w:cs="Arial"/>
          <w:sz w:val="22"/>
          <w:szCs w:val="22"/>
        </w:rPr>
      </w:pPr>
      <w:r>
        <w:rPr>
          <w:rStyle w:val="normaltextrun"/>
          <w:rFonts w:ascii="Arial" w:eastAsiaTheme="majorEastAsia" w:hAnsi="Arial" w:cs="Arial"/>
          <w:sz w:val="22"/>
          <w:szCs w:val="22"/>
        </w:rPr>
        <w:t>The following holidays are observed by the City and will be granted to employees with pay and to temporary employees without pay unless such temporary employees are required to be on duty:</w:t>
      </w:r>
      <w:r>
        <w:rPr>
          <w:rStyle w:val="eop"/>
          <w:rFonts w:ascii="Arial" w:eastAsiaTheme="majorEastAsia" w:hAnsi="Arial" w:cs="Arial"/>
          <w:sz w:val="22"/>
          <w:szCs w:val="22"/>
        </w:rPr>
        <w:t> </w:t>
      </w:r>
    </w:p>
    <w:p w14:paraId="78D35CBC" w14:textId="77777777" w:rsidR="00FE0A4C" w:rsidRDefault="00FE0A4C" w:rsidP="00FE0A4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F9988EA" w14:textId="77777777" w:rsidR="00FE0A4C" w:rsidRDefault="00FE0A4C" w:rsidP="00FE0A4C">
      <w:pPr>
        <w:pStyle w:val="paragraph"/>
        <w:spacing w:before="0" w:beforeAutospacing="0" w:after="0" w:afterAutospacing="0"/>
        <w:ind w:left="1725"/>
        <w:textAlignment w:val="baseline"/>
        <w:rPr>
          <w:rFonts w:ascii="Segoe UI" w:hAnsi="Segoe UI" w:cs="Segoe UI"/>
          <w:sz w:val="18"/>
          <w:szCs w:val="18"/>
        </w:rPr>
      </w:pPr>
      <w:r>
        <w:rPr>
          <w:rStyle w:val="normaltextrun"/>
          <w:rFonts w:ascii="Arial" w:eastAsiaTheme="majorEastAsia" w:hAnsi="Arial" w:cs="Arial"/>
          <w:sz w:val="22"/>
          <w:szCs w:val="22"/>
        </w:rPr>
        <w:t>New Year’s Day (January 1</w:t>
      </w:r>
      <w:r>
        <w:rPr>
          <w:rStyle w:val="normaltextrun"/>
          <w:rFonts w:ascii="Arial" w:eastAsiaTheme="majorEastAsia" w:hAnsi="Arial" w:cs="Arial"/>
          <w:sz w:val="17"/>
          <w:szCs w:val="17"/>
          <w:vertAlign w:val="superscript"/>
        </w:rPr>
        <w:t>st</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20265326" w14:textId="77777777" w:rsidR="00FE0A4C" w:rsidRDefault="00FE0A4C" w:rsidP="00FE0A4C">
      <w:pPr>
        <w:pStyle w:val="paragraph"/>
        <w:spacing w:before="0" w:beforeAutospacing="0" w:after="0" w:afterAutospacing="0"/>
        <w:ind w:left="1725" w:right="3630"/>
        <w:textAlignment w:val="baseline"/>
        <w:rPr>
          <w:rFonts w:ascii="Segoe UI" w:hAnsi="Segoe UI" w:cs="Segoe UI"/>
          <w:sz w:val="18"/>
          <w:szCs w:val="18"/>
        </w:rPr>
      </w:pPr>
      <w:r>
        <w:rPr>
          <w:rStyle w:val="normaltextrun"/>
          <w:rFonts w:ascii="Arial" w:eastAsiaTheme="majorEastAsia" w:hAnsi="Arial" w:cs="Arial"/>
          <w:sz w:val="22"/>
          <w:szCs w:val="22"/>
        </w:rPr>
        <w:t>Martin Luther King Day (third Monday in January) Good Friday (Friday before Easter)</w:t>
      </w:r>
      <w:r>
        <w:rPr>
          <w:rStyle w:val="eop"/>
          <w:rFonts w:ascii="Arial" w:eastAsiaTheme="majorEastAsia" w:hAnsi="Arial" w:cs="Arial"/>
          <w:sz w:val="22"/>
          <w:szCs w:val="22"/>
        </w:rPr>
        <w:t> </w:t>
      </w:r>
    </w:p>
    <w:p w14:paraId="7D436EA1" w14:textId="77777777" w:rsidR="004D3572" w:rsidRDefault="00FE0A4C" w:rsidP="00FE0A4C">
      <w:pPr>
        <w:pStyle w:val="paragraph"/>
        <w:spacing w:before="0" w:beforeAutospacing="0" w:after="0" w:afterAutospacing="0"/>
        <w:ind w:left="1725" w:right="504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Memorial Day (last Monday in May)</w:t>
      </w:r>
    </w:p>
    <w:p w14:paraId="4FA79FB1" w14:textId="14E54184" w:rsidR="00882B9C" w:rsidRDefault="00882B9C" w:rsidP="00FE0A4C">
      <w:pPr>
        <w:pStyle w:val="paragraph"/>
        <w:spacing w:before="0" w:beforeAutospacing="0" w:after="0" w:afterAutospacing="0"/>
        <w:ind w:left="1725" w:right="504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Tulsa Race </w:t>
      </w:r>
      <w:r w:rsidR="00E94F93">
        <w:rPr>
          <w:rStyle w:val="normaltextrun"/>
          <w:rFonts w:ascii="Arial" w:eastAsiaTheme="majorEastAsia" w:hAnsi="Arial" w:cs="Arial"/>
          <w:sz w:val="22"/>
          <w:szCs w:val="22"/>
        </w:rPr>
        <w:t>Massacre</w:t>
      </w:r>
      <w:r w:rsidR="00627C34">
        <w:rPr>
          <w:rStyle w:val="normaltextrun"/>
          <w:rFonts w:ascii="Arial" w:eastAsiaTheme="majorEastAsia" w:hAnsi="Arial" w:cs="Arial"/>
          <w:sz w:val="22"/>
          <w:szCs w:val="22"/>
        </w:rPr>
        <w:t xml:space="preserve"> </w:t>
      </w:r>
      <w:r w:rsidR="00E94F93">
        <w:rPr>
          <w:rStyle w:val="normaltextrun"/>
          <w:rFonts w:ascii="Arial" w:eastAsiaTheme="majorEastAsia" w:hAnsi="Arial" w:cs="Arial"/>
          <w:sz w:val="22"/>
          <w:szCs w:val="22"/>
        </w:rPr>
        <w:t xml:space="preserve">Observance </w:t>
      </w:r>
      <w:r w:rsidR="00627C34">
        <w:rPr>
          <w:rStyle w:val="normaltextrun"/>
          <w:rFonts w:ascii="Arial" w:eastAsiaTheme="majorEastAsia" w:hAnsi="Arial" w:cs="Arial"/>
          <w:sz w:val="22"/>
          <w:szCs w:val="22"/>
        </w:rPr>
        <w:t>Day (June 1</w:t>
      </w:r>
      <w:r w:rsidR="00627C34" w:rsidRPr="00373959">
        <w:rPr>
          <w:rStyle w:val="normaltextrun"/>
          <w:rFonts w:ascii="Arial" w:eastAsiaTheme="majorEastAsia" w:hAnsi="Arial" w:cs="Arial"/>
          <w:sz w:val="22"/>
          <w:szCs w:val="22"/>
          <w:vertAlign w:val="superscript"/>
        </w:rPr>
        <w:t>st</w:t>
      </w:r>
      <w:r w:rsidR="00627C34">
        <w:rPr>
          <w:rStyle w:val="normaltextrun"/>
          <w:rFonts w:ascii="Arial" w:eastAsiaTheme="majorEastAsia" w:hAnsi="Arial" w:cs="Arial"/>
          <w:sz w:val="22"/>
          <w:szCs w:val="22"/>
        </w:rPr>
        <w:t>)</w:t>
      </w:r>
    </w:p>
    <w:p w14:paraId="79509FFC" w14:textId="6CA631F9" w:rsidR="00FE0A4C" w:rsidRDefault="00FE0A4C" w:rsidP="00FE0A4C">
      <w:pPr>
        <w:pStyle w:val="paragraph"/>
        <w:spacing w:before="0" w:beforeAutospacing="0" w:after="0" w:afterAutospacing="0"/>
        <w:ind w:left="1725" w:right="5040"/>
        <w:textAlignment w:val="baseline"/>
        <w:rPr>
          <w:rFonts w:ascii="Segoe UI" w:hAnsi="Segoe UI" w:cs="Segoe UI"/>
          <w:sz w:val="18"/>
          <w:szCs w:val="18"/>
        </w:rPr>
      </w:pPr>
      <w:r>
        <w:rPr>
          <w:rStyle w:val="normaltextrun"/>
          <w:rFonts w:ascii="Arial" w:eastAsiaTheme="majorEastAsia" w:hAnsi="Arial" w:cs="Arial"/>
          <w:sz w:val="22"/>
          <w:szCs w:val="22"/>
        </w:rPr>
        <w:t>Juneteenth (June 19</w:t>
      </w:r>
      <w:r>
        <w:rPr>
          <w:rStyle w:val="normaltextrun"/>
          <w:rFonts w:ascii="Arial" w:eastAsiaTheme="majorEastAsia" w:hAnsi="Arial" w:cs="Arial"/>
          <w:sz w:val="17"/>
          <w:szCs w:val="17"/>
          <w:vertAlign w:val="superscript"/>
        </w:rPr>
        <w:t>th</w:t>
      </w:r>
      <w:r>
        <w:rPr>
          <w:rStyle w:val="normaltextrun"/>
          <w:rFonts w:ascii="Arial" w:eastAsiaTheme="majorEastAsia" w:hAnsi="Arial" w:cs="Arial"/>
          <w:sz w:val="22"/>
          <w:szCs w:val="22"/>
        </w:rPr>
        <w:t>) Independence Day (July 4</w:t>
      </w:r>
      <w:r>
        <w:rPr>
          <w:rStyle w:val="normaltextrun"/>
          <w:rFonts w:ascii="Arial" w:eastAsiaTheme="majorEastAsia" w:hAnsi="Arial" w:cs="Arial"/>
          <w:sz w:val="17"/>
          <w:szCs w:val="17"/>
          <w:vertAlign w:val="superscript"/>
        </w:rPr>
        <w:t>th</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251675D1" w14:textId="77777777" w:rsidR="00FE0A4C" w:rsidRDefault="00FE0A4C" w:rsidP="00FE0A4C">
      <w:pPr>
        <w:pStyle w:val="paragraph"/>
        <w:spacing w:before="0" w:beforeAutospacing="0" w:after="0" w:afterAutospacing="0"/>
        <w:ind w:left="1725" w:right="3990"/>
        <w:textAlignment w:val="baseline"/>
        <w:rPr>
          <w:rFonts w:ascii="Segoe UI" w:hAnsi="Segoe UI" w:cs="Segoe UI"/>
          <w:sz w:val="18"/>
          <w:szCs w:val="18"/>
        </w:rPr>
      </w:pPr>
      <w:r>
        <w:rPr>
          <w:rStyle w:val="normaltextrun"/>
          <w:rFonts w:ascii="Arial" w:eastAsiaTheme="majorEastAsia" w:hAnsi="Arial" w:cs="Arial"/>
          <w:sz w:val="22"/>
          <w:szCs w:val="22"/>
        </w:rPr>
        <w:t>Labor Day (first Monday in September) Veteran’s Day (November 11</w:t>
      </w:r>
      <w:r>
        <w:rPr>
          <w:rStyle w:val="normaltextrun"/>
          <w:rFonts w:ascii="Arial" w:eastAsiaTheme="majorEastAsia" w:hAnsi="Arial" w:cs="Arial"/>
          <w:sz w:val="17"/>
          <w:szCs w:val="17"/>
          <w:vertAlign w:val="superscript"/>
        </w:rPr>
        <w:t>th</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69B2A2B9" w14:textId="77777777" w:rsidR="00FE0A4C" w:rsidRDefault="00FE0A4C" w:rsidP="00FE0A4C">
      <w:pPr>
        <w:pStyle w:val="paragraph"/>
        <w:spacing w:before="0" w:beforeAutospacing="0" w:after="0" w:afterAutospacing="0"/>
        <w:ind w:left="1725" w:right="3630"/>
        <w:textAlignment w:val="baseline"/>
        <w:rPr>
          <w:rFonts w:ascii="Segoe UI" w:hAnsi="Segoe UI" w:cs="Segoe UI"/>
          <w:sz w:val="18"/>
          <w:szCs w:val="18"/>
        </w:rPr>
      </w:pPr>
      <w:r>
        <w:rPr>
          <w:rStyle w:val="normaltextrun"/>
          <w:rFonts w:ascii="Arial" w:eastAsiaTheme="majorEastAsia" w:hAnsi="Arial" w:cs="Arial"/>
          <w:sz w:val="22"/>
          <w:szCs w:val="22"/>
        </w:rPr>
        <w:t>Thanksgiving Day (fourth Thursday in November) Friday after Thanksgiving</w:t>
      </w:r>
      <w:r>
        <w:rPr>
          <w:rStyle w:val="eop"/>
          <w:rFonts w:ascii="Arial" w:eastAsiaTheme="majorEastAsia" w:hAnsi="Arial" w:cs="Arial"/>
          <w:sz w:val="22"/>
          <w:szCs w:val="22"/>
        </w:rPr>
        <w:t> </w:t>
      </w:r>
    </w:p>
    <w:p w14:paraId="05197E35" w14:textId="77777777" w:rsidR="00FE0A4C" w:rsidRDefault="00FE0A4C" w:rsidP="00FE0A4C">
      <w:pPr>
        <w:pStyle w:val="paragraph"/>
        <w:spacing w:before="0" w:beforeAutospacing="0" w:after="0" w:afterAutospacing="0"/>
        <w:ind w:left="1725" w:right="5565"/>
        <w:textAlignment w:val="baseline"/>
        <w:rPr>
          <w:rFonts w:ascii="Segoe UI" w:hAnsi="Segoe UI" w:cs="Segoe UI"/>
          <w:sz w:val="18"/>
          <w:szCs w:val="18"/>
        </w:rPr>
      </w:pPr>
      <w:r>
        <w:rPr>
          <w:rStyle w:val="normaltextrun"/>
          <w:rFonts w:ascii="Arial" w:eastAsiaTheme="majorEastAsia" w:hAnsi="Arial" w:cs="Arial"/>
          <w:sz w:val="22"/>
          <w:szCs w:val="22"/>
        </w:rPr>
        <w:t>Christmas Eve (December 24</w:t>
      </w:r>
      <w:r>
        <w:rPr>
          <w:rStyle w:val="normaltextrun"/>
          <w:rFonts w:ascii="Arial" w:eastAsiaTheme="majorEastAsia" w:hAnsi="Arial" w:cs="Arial"/>
          <w:sz w:val="17"/>
          <w:szCs w:val="17"/>
          <w:vertAlign w:val="superscript"/>
        </w:rPr>
        <w:t>th</w:t>
      </w:r>
      <w:r>
        <w:rPr>
          <w:rStyle w:val="normaltextrun"/>
          <w:rFonts w:ascii="Arial" w:eastAsiaTheme="majorEastAsia" w:hAnsi="Arial" w:cs="Arial"/>
          <w:sz w:val="22"/>
          <w:szCs w:val="22"/>
        </w:rPr>
        <w:t>) Christmas Day (December 25</w:t>
      </w:r>
      <w:r>
        <w:rPr>
          <w:rStyle w:val="normaltextrun"/>
          <w:rFonts w:ascii="Arial" w:eastAsiaTheme="majorEastAsia" w:hAnsi="Arial" w:cs="Arial"/>
          <w:sz w:val="17"/>
          <w:szCs w:val="17"/>
          <w:vertAlign w:val="superscript"/>
        </w:rPr>
        <w:t>th</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3E0B796B" w14:textId="77777777" w:rsidR="00FE0A4C" w:rsidRDefault="00FE0A4C" w:rsidP="00FE0A4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7B41E865" w14:textId="77777777" w:rsidR="00FE0A4C" w:rsidRDefault="00FE0A4C" w:rsidP="00FE0A4C">
      <w:pPr>
        <w:pStyle w:val="paragraph"/>
        <w:spacing w:before="0" w:beforeAutospacing="0" w:after="0" w:afterAutospacing="0"/>
        <w:ind w:left="2460"/>
        <w:textAlignment w:val="baseline"/>
        <w:rPr>
          <w:rFonts w:ascii="Segoe UI" w:hAnsi="Segoe UI" w:cs="Segoe UI"/>
          <w:sz w:val="18"/>
          <w:szCs w:val="18"/>
        </w:rPr>
      </w:pPr>
      <w:r>
        <w:rPr>
          <w:rStyle w:val="normaltextrun"/>
          <w:rFonts w:ascii="Arial" w:eastAsiaTheme="majorEastAsia" w:hAnsi="Arial" w:cs="Arial"/>
          <w:sz w:val="22"/>
          <w:szCs w:val="22"/>
        </w:rPr>
        <w:t>.11 Part-time employees will be granted Holiday Leave using the same guidelines established within Section 303.42 above. However, in no case will an employee be granted Holiday Leave that exceeds the number of hours they are normally scheduled to work on the holiday. The twelve</w:t>
      </w:r>
      <w:r>
        <w:rPr>
          <w:rStyle w:val="eop"/>
          <w:rFonts w:ascii="Arial" w:eastAsiaTheme="majorEastAsia" w:hAnsi="Arial" w:cs="Arial"/>
          <w:sz w:val="22"/>
          <w:szCs w:val="22"/>
        </w:rPr>
        <w:t> </w:t>
      </w:r>
      <w:r>
        <w:rPr>
          <w:rStyle w:val="normaltextrun"/>
          <w:rFonts w:ascii="Arial" w:eastAsiaTheme="majorEastAsia" w:hAnsi="Arial" w:cs="Arial"/>
          <w:sz w:val="22"/>
          <w:szCs w:val="22"/>
        </w:rPr>
        <w:t>(12) month average will be calculated from the date the holiday is officially observed by the City of Tulsa.</w:t>
      </w:r>
      <w:r>
        <w:rPr>
          <w:rStyle w:val="eop"/>
          <w:rFonts w:ascii="Arial" w:eastAsiaTheme="majorEastAsia" w:hAnsi="Arial" w:cs="Arial"/>
          <w:sz w:val="22"/>
          <w:szCs w:val="22"/>
        </w:rPr>
        <w:t> </w:t>
      </w:r>
    </w:p>
    <w:p w14:paraId="2A7D56BD" w14:textId="77777777" w:rsidR="00FE0A4C" w:rsidRDefault="00FE0A4C" w:rsidP="00FE0A4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57567CE" w14:textId="77777777" w:rsidR="00FE0A4C" w:rsidRDefault="00FE0A4C" w:rsidP="00FE0A4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41C06D4" w14:textId="77777777" w:rsidR="00FE0A4C" w:rsidRDefault="00FE0A4C" w:rsidP="00FE0A4C">
      <w:pPr>
        <w:pStyle w:val="paragraph"/>
        <w:numPr>
          <w:ilvl w:val="0"/>
          <w:numId w:val="3"/>
        </w:numPr>
        <w:spacing w:before="0" w:beforeAutospacing="0" w:after="0" w:afterAutospacing="0"/>
        <w:ind w:left="1740" w:firstLine="0"/>
        <w:jc w:val="both"/>
        <w:textAlignment w:val="baseline"/>
        <w:rPr>
          <w:rFonts w:ascii="Arial" w:hAnsi="Arial" w:cs="Arial"/>
          <w:sz w:val="22"/>
          <w:szCs w:val="22"/>
        </w:rPr>
      </w:pPr>
      <w:r>
        <w:rPr>
          <w:rStyle w:val="normaltextrun"/>
          <w:rFonts w:ascii="Arial" w:eastAsiaTheme="majorEastAsia" w:hAnsi="Arial" w:cs="Arial"/>
          <w:sz w:val="22"/>
          <w:szCs w:val="22"/>
        </w:rPr>
        <w:t>Holidays are provided as a shift-based benefit for full-time Employees determined by the length of the workday designated as a holiday.</w:t>
      </w:r>
      <w:r>
        <w:rPr>
          <w:rStyle w:val="eop"/>
          <w:rFonts w:ascii="Arial" w:eastAsiaTheme="majorEastAsia" w:hAnsi="Arial" w:cs="Arial"/>
          <w:sz w:val="22"/>
          <w:szCs w:val="22"/>
        </w:rPr>
        <w:t> </w:t>
      </w:r>
    </w:p>
    <w:p w14:paraId="623EC74F" w14:textId="77777777" w:rsidR="00FE0A4C" w:rsidRDefault="00FE0A4C" w:rsidP="00FE0A4C">
      <w:pPr>
        <w:pStyle w:val="paragraph"/>
        <w:numPr>
          <w:ilvl w:val="0"/>
          <w:numId w:val="4"/>
        </w:numPr>
        <w:spacing w:before="0" w:beforeAutospacing="0" w:after="0" w:afterAutospacing="0"/>
        <w:ind w:left="1740" w:firstLine="0"/>
        <w:jc w:val="both"/>
        <w:textAlignment w:val="baseline"/>
        <w:rPr>
          <w:rFonts w:ascii="Arial" w:hAnsi="Arial" w:cs="Arial"/>
          <w:sz w:val="22"/>
          <w:szCs w:val="22"/>
        </w:rPr>
      </w:pPr>
      <w:r>
        <w:rPr>
          <w:rStyle w:val="normaltextrun"/>
          <w:rFonts w:ascii="Arial" w:eastAsiaTheme="majorEastAsia" w:hAnsi="Arial" w:cs="Arial"/>
          <w:sz w:val="22"/>
          <w:szCs w:val="22"/>
        </w:rPr>
        <w:t>Employees covered under the terms of a collective bargaining agreement should refer to the agreement for controlling language if the agreement is at variance with this section.</w:t>
      </w:r>
      <w:r>
        <w:rPr>
          <w:rStyle w:val="eop"/>
          <w:rFonts w:ascii="Arial" w:eastAsiaTheme="majorEastAsia" w:hAnsi="Arial" w:cs="Arial"/>
          <w:sz w:val="22"/>
          <w:szCs w:val="22"/>
        </w:rPr>
        <w:t> </w:t>
      </w:r>
    </w:p>
    <w:p w14:paraId="1D7108CE" w14:textId="77777777" w:rsidR="00FE0A4C" w:rsidRDefault="00FE0A4C" w:rsidP="00FE0A4C">
      <w:pPr>
        <w:pStyle w:val="paragraph"/>
        <w:numPr>
          <w:ilvl w:val="0"/>
          <w:numId w:val="5"/>
        </w:numPr>
        <w:spacing w:before="0" w:beforeAutospacing="0" w:after="0" w:afterAutospacing="0"/>
        <w:ind w:left="1740" w:firstLine="0"/>
        <w:jc w:val="both"/>
        <w:textAlignment w:val="baseline"/>
        <w:rPr>
          <w:rFonts w:ascii="Arial" w:hAnsi="Arial" w:cs="Arial"/>
          <w:sz w:val="22"/>
          <w:szCs w:val="22"/>
        </w:rPr>
      </w:pPr>
      <w:r>
        <w:rPr>
          <w:rStyle w:val="normaltextrun"/>
          <w:rFonts w:ascii="Arial" w:eastAsiaTheme="majorEastAsia" w:hAnsi="Arial" w:cs="Arial"/>
          <w:sz w:val="22"/>
          <w:szCs w:val="22"/>
        </w:rPr>
        <w:t>The granting of holidays observed by the City will be subject to the following provisions:</w:t>
      </w:r>
      <w:r>
        <w:rPr>
          <w:rStyle w:val="eop"/>
          <w:rFonts w:ascii="Arial" w:eastAsiaTheme="majorEastAsia" w:hAnsi="Arial" w:cs="Arial"/>
          <w:sz w:val="22"/>
          <w:szCs w:val="22"/>
        </w:rPr>
        <w:t> </w:t>
      </w:r>
    </w:p>
    <w:p w14:paraId="146B77EB" w14:textId="77777777" w:rsidR="00FE0A4C" w:rsidRDefault="00FE0A4C" w:rsidP="00FE0A4C">
      <w:pPr>
        <w:pStyle w:val="paragraph"/>
        <w:numPr>
          <w:ilvl w:val="0"/>
          <w:numId w:val="6"/>
        </w:numPr>
        <w:spacing w:before="0" w:beforeAutospacing="0" w:after="0" w:afterAutospacing="0"/>
        <w:ind w:left="2460" w:firstLine="0"/>
        <w:jc w:val="both"/>
        <w:textAlignment w:val="baseline"/>
        <w:rPr>
          <w:rFonts w:ascii="Arial" w:hAnsi="Arial" w:cs="Arial"/>
          <w:sz w:val="22"/>
          <w:szCs w:val="22"/>
        </w:rPr>
      </w:pPr>
      <w:r>
        <w:rPr>
          <w:rStyle w:val="normaltextrun"/>
          <w:rFonts w:ascii="Arial" w:eastAsiaTheme="majorEastAsia" w:hAnsi="Arial" w:cs="Arial"/>
          <w:sz w:val="22"/>
          <w:szCs w:val="22"/>
        </w:rPr>
        <w:t xml:space="preserve">Employees who are regularly assigned to work Monday through Friday with Saturday and Sunday as normal days off will observe a holiday falling on Saturday on the preceding Friday and a holiday falling on Sunday on the following Monday. Employees whose regular shift is other than Monday through Friday will observe holidays on the actual day defined in .1 above except when a holiday occurs on the employee’s normal day off, either the workday preceding the holiday or the employee’s next scheduled workday shall be observed as the holiday </w:t>
      </w:r>
      <w:r>
        <w:rPr>
          <w:rStyle w:val="normaltextrun"/>
          <w:rFonts w:ascii="Arial" w:eastAsiaTheme="majorEastAsia" w:hAnsi="Arial" w:cs="Arial"/>
          <w:sz w:val="22"/>
          <w:szCs w:val="22"/>
        </w:rPr>
        <w:lastRenderedPageBreak/>
        <w:t>as determined in advance by the employee’s supervisor based on the operational needs of the department. Employees shall be given at least 30 days advance notice of their designated holiday.</w:t>
      </w:r>
      <w:r>
        <w:rPr>
          <w:rStyle w:val="eop"/>
          <w:rFonts w:ascii="Arial" w:eastAsiaTheme="majorEastAsia" w:hAnsi="Arial" w:cs="Arial"/>
          <w:sz w:val="22"/>
          <w:szCs w:val="22"/>
        </w:rPr>
        <w:t> </w:t>
      </w:r>
    </w:p>
    <w:p w14:paraId="79E424DF" w14:textId="77777777" w:rsidR="00FE0A4C" w:rsidRDefault="00FE0A4C" w:rsidP="00FE0A4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4067692F" w14:textId="77777777" w:rsidR="00FE0A4C" w:rsidRDefault="00FE0A4C" w:rsidP="00FE0A4C">
      <w:pPr>
        <w:pStyle w:val="paragraph"/>
        <w:numPr>
          <w:ilvl w:val="0"/>
          <w:numId w:val="7"/>
        </w:numPr>
        <w:spacing w:before="0" w:beforeAutospacing="0" w:after="0" w:afterAutospacing="0"/>
        <w:ind w:left="2460" w:firstLine="0"/>
        <w:jc w:val="both"/>
        <w:textAlignment w:val="baseline"/>
        <w:rPr>
          <w:rFonts w:ascii="Arial" w:hAnsi="Arial" w:cs="Arial"/>
          <w:sz w:val="22"/>
          <w:szCs w:val="22"/>
        </w:rPr>
      </w:pPr>
      <w:r>
        <w:rPr>
          <w:rStyle w:val="normaltextrun"/>
          <w:rFonts w:ascii="Arial" w:eastAsiaTheme="majorEastAsia" w:hAnsi="Arial" w:cs="Arial"/>
          <w:sz w:val="22"/>
          <w:szCs w:val="22"/>
        </w:rPr>
        <w:t>Employees who are required to work on a holiday will be compensated in accordance with provisions of Section 220.</w:t>
      </w:r>
      <w:r>
        <w:rPr>
          <w:rStyle w:val="eop"/>
          <w:rFonts w:ascii="Arial" w:eastAsiaTheme="majorEastAsia" w:hAnsi="Arial" w:cs="Arial"/>
          <w:sz w:val="22"/>
          <w:szCs w:val="22"/>
        </w:rPr>
        <w:t> </w:t>
      </w:r>
    </w:p>
    <w:p w14:paraId="5A3B18BF" w14:textId="77777777" w:rsidR="00FE0A4C" w:rsidRDefault="00FE0A4C" w:rsidP="00FE0A4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8314E13" w14:textId="77777777" w:rsidR="00FE0A4C" w:rsidRDefault="00FE0A4C" w:rsidP="00FE0A4C">
      <w:pPr>
        <w:pStyle w:val="paragraph"/>
        <w:numPr>
          <w:ilvl w:val="0"/>
          <w:numId w:val="8"/>
        </w:numPr>
        <w:spacing w:before="0" w:beforeAutospacing="0" w:after="0" w:afterAutospacing="0"/>
        <w:ind w:left="2445" w:firstLine="0"/>
        <w:jc w:val="both"/>
        <w:textAlignment w:val="baseline"/>
        <w:rPr>
          <w:rFonts w:ascii="Arial" w:hAnsi="Arial" w:cs="Arial"/>
          <w:sz w:val="22"/>
          <w:szCs w:val="22"/>
        </w:rPr>
      </w:pPr>
      <w:r>
        <w:rPr>
          <w:rStyle w:val="normaltextrun"/>
          <w:rFonts w:ascii="Arial" w:eastAsiaTheme="majorEastAsia" w:hAnsi="Arial" w:cs="Arial"/>
          <w:sz w:val="22"/>
          <w:szCs w:val="22"/>
        </w:rPr>
        <w:t>Holidays or other non-scheduled workdays will not be included in computing Vacation Leave. However, when an employee is absent on a holiday that is a regularly scheduled work day for the employee, the holiday is forfeited and time will be deducted from his or her Sick Leave or charged to Leave Without Pay whichever is applicable. Employees on Leave Without Pay before, after or during a holiday will not be paid for the holiday.</w:t>
      </w:r>
      <w:r>
        <w:rPr>
          <w:rStyle w:val="eop"/>
          <w:rFonts w:ascii="Arial" w:eastAsiaTheme="majorEastAsia" w:hAnsi="Arial" w:cs="Arial"/>
          <w:sz w:val="22"/>
          <w:szCs w:val="22"/>
        </w:rPr>
        <w:t> </w:t>
      </w:r>
    </w:p>
    <w:p w14:paraId="068CFDF5" w14:textId="77777777" w:rsidR="00FE0A4C" w:rsidRPr="00FE0A4C" w:rsidRDefault="00FE0A4C" w:rsidP="00FE0A4C">
      <w:pPr>
        <w:pStyle w:val="paragraph"/>
        <w:numPr>
          <w:ilvl w:val="0"/>
          <w:numId w:val="9"/>
        </w:numPr>
        <w:spacing w:before="0" w:beforeAutospacing="0" w:after="0" w:afterAutospacing="0"/>
        <w:ind w:left="2445" w:firstLine="0"/>
        <w:jc w:val="both"/>
        <w:textAlignment w:val="baseline"/>
        <w:rPr>
          <w:rStyle w:val="eop"/>
          <w:rFonts w:ascii="Arial" w:hAnsi="Arial" w:cs="Arial"/>
          <w:sz w:val="22"/>
          <w:szCs w:val="22"/>
        </w:rPr>
      </w:pPr>
      <w:r>
        <w:rPr>
          <w:rStyle w:val="normaltextrun"/>
          <w:rFonts w:ascii="Arial" w:eastAsiaTheme="majorEastAsia" w:hAnsi="Arial" w:cs="Arial"/>
          <w:sz w:val="22"/>
          <w:szCs w:val="22"/>
        </w:rPr>
        <w:t>When a holiday falls within a period of Leave Without Pay or Sick Leave not verified by a Doctor’s slip immediately preceding or immediately after Holiday Leave, the employee will receive no pay for the holiday.</w:t>
      </w:r>
      <w:r>
        <w:rPr>
          <w:rStyle w:val="eop"/>
          <w:rFonts w:ascii="Arial" w:eastAsiaTheme="majorEastAsia" w:hAnsi="Arial" w:cs="Arial"/>
          <w:sz w:val="22"/>
          <w:szCs w:val="22"/>
        </w:rPr>
        <w:t> </w:t>
      </w:r>
    </w:p>
    <w:p w14:paraId="69F74551" w14:textId="77777777" w:rsidR="00FE0A4C" w:rsidRPr="00FE0A4C" w:rsidRDefault="00FE0A4C" w:rsidP="00FE0A4C">
      <w:pPr>
        <w:pStyle w:val="paragraph"/>
        <w:numPr>
          <w:ilvl w:val="0"/>
          <w:numId w:val="9"/>
        </w:numPr>
        <w:spacing w:before="0" w:beforeAutospacing="0" w:after="0" w:afterAutospacing="0"/>
        <w:ind w:left="2445" w:firstLine="0"/>
        <w:jc w:val="both"/>
        <w:textAlignment w:val="baseline"/>
        <w:rPr>
          <w:rFonts w:ascii="Arial" w:hAnsi="Arial" w:cs="Arial"/>
          <w:sz w:val="22"/>
          <w:szCs w:val="22"/>
        </w:rPr>
      </w:pPr>
      <w:r w:rsidRPr="00FE0A4C">
        <w:rPr>
          <w:rStyle w:val="normaltextrun"/>
          <w:rFonts w:ascii="Arial" w:eastAsiaTheme="majorEastAsia" w:hAnsi="Arial" w:cs="Arial"/>
          <w:sz w:val="22"/>
          <w:szCs w:val="22"/>
        </w:rPr>
        <w:t>The appointment of an employee will not be effective on a holiday.</w:t>
      </w:r>
      <w:r w:rsidRPr="00FE0A4C">
        <w:rPr>
          <w:rStyle w:val="eop"/>
          <w:rFonts w:ascii="Arial" w:eastAsiaTheme="majorEastAsia" w:hAnsi="Arial" w:cs="Arial"/>
          <w:sz w:val="22"/>
          <w:szCs w:val="22"/>
        </w:rPr>
        <w:t> </w:t>
      </w:r>
    </w:p>
    <w:p w14:paraId="4E2B1FCC" w14:textId="77777777" w:rsidR="00FE0A4C" w:rsidRDefault="00FE0A4C" w:rsidP="00FE0A4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676FBA1C" w14:textId="77777777" w:rsidR="00FE0A4C" w:rsidRDefault="00FE0A4C" w:rsidP="00FE0A4C">
      <w:pPr>
        <w:pStyle w:val="paragraph"/>
        <w:numPr>
          <w:ilvl w:val="0"/>
          <w:numId w:val="11"/>
        </w:numPr>
        <w:spacing w:before="0" w:beforeAutospacing="0" w:after="0" w:afterAutospacing="0"/>
        <w:ind w:left="2445" w:firstLine="0"/>
        <w:jc w:val="both"/>
        <w:textAlignment w:val="baseline"/>
        <w:rPr>
          <w:rFonts w:ascii="Arial" w:hAnsi="Arial" w:cs="Arial"/>
          <w:sz w:val="22"/>
          <w:szCs w:val="22"/>
        </w:rPr>
      </w:pPr>
      <w:r>
        <w:rPr>
          <w:rStyle w:val="normaltextrun"/>
          <w:rFonts w:ascii="Arial" w:eastAsiaTheme="majorEastAsia" w:hAnsi="Arial" w:cs="Arial"/>
          <w:sz w:val="22"/>
          <w:szCs w:val="22"/>
        </w:rPr>
        <w:t>The separation of an employee should not be effective on a holiday except when the employee works on the specified holiday.</w:t>
      </w:r>
      <w:r>
        <w:rPr>
          <w:rStyle w:val="eop"/>
          <w:rFonts w:ascii="Arial" w:eastAsiaTheme="majorEastAsia" w:hAnsi="Arial" w:cs="Arial"/>
          <w:sz w:val="22"/>
          <w:szCs w:val="22"/>
        </w:rPr>
        <w:t> </w:t>
      </w:r>
    </w:p>
    <w:p w14:paraId="4443BEAE" w14:textId="77777777" w:rsidR="00FE0A4C" w:rsidRDefault="00FE0A4C" w:rsidP="00FE0A4C">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2"/>
          <w:szCs w:val="22"/>
        </w:rPr>
        <w:t> </w:t>
      </w:r>
    </w:p>
    <w:p w14:paraId="593DC042" w14:textId="75F6F25F" w:rsidR="00FE0A4C" w:rsidRDefault="00FE0A4C" w:rsidP="00FE0A4C">
      <w:pPr>
        <w:pStyle w:val="paragraph"/>
        <w:spacing w:before="0" w:beforeAutospacing="0" w:after="0" w:afterAutospacing="0"/>
        <w:ind w:left="2445" w:right="675" w:hanging="720"/>
        <w:jc w:val="both"/>
        <w:textAlignment w:val="baseline"/>
        <w:rPr>
          <w:rFonts w:ascii="Segoe UI" w:hAnsi="Segoe UI" w:cs="Segoe UI"/>
          <w:sz w:val="18"/>
          <w:szCs w:val="18"/>
        </w:rPr>
      </w:pPr>
    </w:p>
    <w:p w14:paraId="0837450F" w14:textId="77777777" w:rsidR="00FE0A4C" w:rsidRDefault="00FE0A4C" w:rsidP="00FE0A4C">
      <w:pPr>
        <w:pStyle w:val="paragraph"/>
        <w:numPr>
          <w:ilvl w:val="0"/>
          <w:numId w:val="12"/>
        </w:numPr>
        <w:spacing w:before="0" w:beforeAutospacing="0" w:after="0" w:afterAutospacing="0"/>
        <w:ind w:left="2460" w:firstLine="0"/>
        <w:jc w:val="both"/>
        <w:textAlignment w:val="baseline"/>
        <w:rPr>
          <w:rFonts w:ascii="Arial" w:hAnsi="Arial" w:cs="Arial"/>
          <w:sz w:val="22"/>
          <w:szCs w:val="22"/>
        </w:rPr>
      </w:pPr>
      <w:r>
        <w:rPr>
          <w:rStyle w:val="eop"/>
          <w:rFonts w:ascii="Arial" w:eastAsiaTheme="majorEastAsia" w:hAnsi="Arial" w:cs="Arial"/>
          <w:sz w:val="22"/>
          <w:szCs w:val="22"/>
        </w:rPr>
        <w:t> </w:t>
      </w:r>
      <w:r>
        <w:rPr>
          <w:rStyle w:val="normaltextrun"/>
          <w:rFonts w:ascii="Arial" w:eastAsiaTheme="majorEastAsia" w:hAnsi="Arial" w:cs="Arial"/>
          <w:sz w:val="22"/>
          <w:szCs w:val="22"/>
        </w:rPr>
        <w:t>Vacation Leave, Compensatory Leave, or Authorized Personal Leave may be granted to an employee for observance of religious holidays or holidays other than those listed. Employees desiring such leave should make a request to their supervisor and/or Human Resources.</w:t>
      </w:r>
      <w:r>
        <w:rPr>
          <w:rStyle w:val="eop"/>
          <w:rFonts w:ascii="Arial" w:eastAsiaTheme="majorEastAsia" w:hAnsi="Arial" w:cs="Arial"/>
          <w:sz w:val="22"/>
          <w:szCs w:val="22"/>
        </w:rPr>
        <w:t> </w:t>
      </w:r>
    </w:p>
    <w:p w14:paraId="4B60F889" w14:textId="77777777" w:rsidR="00FE0A4C" w:rsidRDefault="00FE0A4C" w:rsidP="00FE0A4C">
      <w:pPr>
        <w:pStyle w:val="paragraph"/>
        <w:numPr>
          <w:ilvl w:val="0"/>
          <w:numId w:val="13"/>
        </w:numPr>
        <w:spacing w:before="0" w:beforeAutospacing="0" w:after="0" w:afterAutospacing="0"/>
        <w:ind w:left="2460" w:firstLine="0"/>
        <w:jc w:val="both"/>
        <w:textAlignment w:val="baseline"/>
        <w:rPr>
          <w:rFonts w:ascii="Arial" w:hAnsi="Arial" w:cs="Arial"/>
          <w:sz w:val="22"/>
          <w:szCs w:val="22"/>
        </w:rPr>
      </w:pPr>
      <w:r>
        <w:rPr>
          <w:rStyle w:val="normaltextrun"/>
          <w:rFonts w:ascii="Arial" w:eastAsiaTheme="majorEastAsia" w:hAnsi="Arial" w:cs="Arial"/>
          <w:sz w:val="22"/>
          <w:szCs w:val="22"/>
        </w:rPr>
        <w:t>Employees working an alternate work schedule must submit appropriate Holiday Leave requests in accordance with Section 221.5.</w:t>
      </w:r>
      <w:r>
        <w:rPr>
          <w:rStyle w:val="eop"/>
          <w:rFonts w:ascii="Arial" w:eastAsiaTheme="majorEastAsia" w:hAnsi="Arial" w:cs="Arial"/>
          <w:sz w:val="22"/>
          <w:szCs w:val="22"/>
        </w:rPr>
        <w:t> </w:t>
      </w:r>
    </w:p>
    <w:p w14:paraId="31057B45" w14:textId="622B806D" w:rsidR="00FE0A4C" w:rsidRDefault="00FE0A4C" w:rsidP="00FE0A4C">
      <w:pPr>
        <w:pStyle w:val="paragraph"/>
        <w:spacing w:before="0" w:beforeAutospacing="0" w:after="0" w:afterAutospacing="0"/>
        <w:jc w:val="both"/>
        <w:textAlignment w:val="baseline"/>
        <w:rPr>
          <w:rFonts w:ascii="Segoe UI" w:hAnsi="Segoe UI" w:cs="Segoe UI"/>
          <w:sz w:val="18"/>
          <w:szCs w:val="18"/>
        </w:rPr>
      </w:pPr>
    </w:p>
    <w:p w14:paraId="4A54E0D4" w14:textId="77777777" w:rsidR="003E6CDB" w:rsidRDefault="003E6CDB"/>
    <w:sectPr w:rsidR="003E6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7C7"/>
    <w:multiLevelType w:val="multilevel"/>
    <w:tmpl w:val="83EEBC74"/>
    <w:lvl w:ilvl="0">
      <w:start w:val="3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07BA5"/>
    <w:multiLevelType w:val="multilevel"/>
    <w:tmpl w:val="95A6AA9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A7BF3"/>
    <w:multiLevelType w:val="multilevel"/>
    <w:tmpl w:val="DA069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10F90"/>
    <w:multiLevelType w:val="multilevel"/>
    <w:tmpl w:val="5790B92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930CF"/>
    <w:multiLevelType w:val="multilevel"/>
    <w:tmpl w:val="5EB81F2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43BAF"/>
    <w:multiLevelType w:val="multilevel"/>
    <w:tmpl w:val="B316F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E3EA4"/>
    <w:multiLevelType w:val="multilevel"/>
    <w:tmpl w:val="D8388684"/>
    <w:lvl w:ilvl="0">
      <w:start w:val="45"/>
      <w:numFmt w:val="decimal"/>
      <w:lvlText w:val="%1."/>
      <w:lvlJc w:val="left"/>
      <w:pPr>
        <w:tabs>
          <w:tab w:val="num" w:pos="2295"/>
        </w:tabs>
        <w:ind w:left="2295" w:hanging="360"/>
      </w:pPr>
    </w:lvl>
    <w:lvl w:ilvl="1" w:tentative="1">
      <w:start w:val="1"/>
      <w:numFmt w:val="decimal"/>
      <w:lvlText w:val="%2."/>
      <w:lvlJc w:val="left"/>
      <w:pPr>
        <w:tabs>
          <w:tab w:val="num" w:pos="3015"/>
        </w:tabs>
        <w:ind w:left="3015" w:hanging="360"/>
      </w:pPr>
    </w:lvl>
    <w:lvl w:ilvl="2" w:tentative="1">
      <w:start w:val="1"/>
      <w:numFmt w:val="decimal"/>
      <w:lvlText w:val="%3."/>
      <w:lvlJc w:val="left"/>
      <w:pPr>
        <w:tabs>
          <w:tab w:val="num" w:pos="3735"/>
        </w:tabs>
        <w:ind w:left="3735" w:hanging="360"/>
      </w:pPr>
    </w:lvl>
    <w:lvl w:ilvl="3" w:tentative="1">
      <w:start w:val="1"/>
      <w:numFmt w:val="decimal"/>
      <w:lvlText w:val="%4."/>
      <w:lvlJc w:val="left"/>
      <w:pPr>
        <w:tabs>
          <w:tab w:val="num" w:pos="4455"/>
        </w:tabs>
        <w:ind w:left="4455" w:hanging="360"/>
      </w:pPr>
    </w:lvl>
    <w:lvl w:ilvl="4" w:tentative="1">
      <w:start w:val="1"/>
      <w:numFmt w:val="decimal"/>
      <w:lvlText w:val="%5."/>
      <w:lvlJc w:val="left"/>
      <w:pPr>
        <w:tabs>
          <w:tab w:val="num" w:pos="5175"/>
        </w:tabs>
        <w:ind w:left="5175" w:hanging="360"/>
      </w:pPr>
    </w:lvl>
    <w:lvl w:ilvl="5" w:tentative="1">
      <w:start w:val="1"/>
      <w:numFmt w:val="decimal"/>
      <w:lvlText w:val="%6."/>
      <w:lvlJc w:val="left"/>
      <w:pPr>
        <w:tabs>
          <w:tab w:val="num" w:pos="5895"/>
        </w:tabs>
        <w:ind w:left="5895" w:hanging="360"/>
      </w:pPr>
    </w:lvl>
    <w:lvl w:ilvl="6" w:tentative="1">
      <w:start w:val="1"/>
      <w:numFmt w:val="decimal"/>
      <w:lvlText w:val="%7."/>
      <w:lvlJc w:val="left"/>
      <w:pPr>
        <w:tabs>
          <w:tab w:val="num" w:pos="6615"/>
        </w:tabs>
        <w:ind w:left="6615" w:hanging="360"/>
      </w:pPr>
    </w:lvl>
    <w:lvl w:ilvl="7" w:tentative="1">
      <w:start w:val="1"/>
      <w:numFmt w:val="decimal"/>
      <w:lvlText w:val="%8."/>
      <w:lvlJc w:val="left"/>
      <w:pPr>
        <w:tabs>
          <w:tab w:val="num" w:pos="7335"/>
        </w:tabs>
        <w:ind w:left="7335" w:hanging="360"/>
      </w:pPr>
    </w:lvl>
    <w:lvl w:ilvl="8" w:tentative="1">
      <w:start w:val="1"/>
      <w:numFmt w:val="decimal"/>
      <w:lvlText w:val="%9."/>
      <w:lvlJc w:val="left"/>
      <w:pPr>
        <w:tabs>
          <w:tab w:val="num" w:pos="8055"/>
        </w:tabs>
        <w:ind w:left="8055" w:hanging="360"/>
      </w:pPr>
    </w:lvl>
  </w:abstractNum>
  <w:abstractNum w:abstractNumId="7" w15:restartNumberingAfterBreak="0">
    <w:nsid w:val="2BF754C8"/>
    <w:multiLevelType w:val="multilevel"/>
    <w:tmpl w:val="8EC00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40AD6"/>
    <w:multiLevelType w:val="multilevel"/>
    <w:tmpl w:val="C61A6C9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683F26"/>
    <w:multiLevelType w:val="multilevel"/>
    <w:tmpl w:val="D130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99553C"/>
    <w:multiLevelType w:val="multilevel"/>
    <w:tmpl w:val="2888390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E63A54"/>
    <w:multiLevelType w:val="multilevel"/>
    <w:tmpl w:val="CFFA5CB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0B46EB"/>
    <w:multiLevelType w:val="multilevel"/>
    <w:tmpl w:val="E5D2267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2146110">
    <w:abstractNumId w:val="0"/>
  </w:num>
  <w:num w:numId="2" w16cid:durableId="1072388927">
    <w:abstractNumId w:val="9"/>
  </w:num>
  <w:num w:numId="3" w16cid:durableId="561061399">
    <w:abstractNumId w:val="7"/>
  </w:num>
  <w:num w:numId="4" w16cid:durableId="606813586">
    <w:abstractNumId w:val="2"/>
  </w:num>
  <w:num w:numId="5" w16cid:durableId="1248155316">
    <w:abstractNumId w:val="5"/>
  </w:num>
  <w:num w:numId="6" w16cid:durableId="2052993822">
    <w:abstractNumId w:val="11"/>
  </w:num>
  <w:num w:numId="7" w16cid:durableId="2144349295">
    <w:abstractNumId w:val="8"/>
  </w:num>
  <w:num w:numId="8" w16cid:durableId="1334408282">
    <w:abstractNumId w:val="4"/>
  </w:num>
  <w:num w:numId="9" w16cid:durableId="1901985958">
    <w:abstractNumId w:val="1"/>
  </w:num>
  <w:num w:numId="10" w16cid:durableId="2128810522">
    <w:abstractNumId w:val="6"/>
  </w:num>
  <w:num w:numId="11" w16cid:durableId="174075803">
    <w:abstractNumId w:val="12"/>
  </w:num>
  <w:num w:numId="12" w16cid:durableId="1572348061">
    <w:abstractNumId w:val="3"/>
  </w:num>
  <w:num w:numId="13" w16cid:durableId="2026057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4C"/>
    <w:rsid w:val="00373959"/>
    <w:rsid w:val="003E6CDB"/>
    <w:rsid w:val="004A43AD"/>
    <w:rsid w:val="004D3572"/>
    <w:rsid w:val="005E6A9C"/>
    <w:rsid w:val="00627C34"/>
    <w:rsid w:val="00641821"/>
    <w:rsid w:val="00882B9C"/>
    <w:rsid w:val="00951A00"/>
    <w:rsid w:val="00A7116F"/>
    <w:rsid w:val="00E94F93"/>
    <w:rsid w:val="00FE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C01B"/>
  <w15:chartTrackingRefBased/>
  <w15:docId w15:val="{ED78D6E2-12EE-4E10-BEA8-08641433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A4C"/>
    <w:rPr>
      <w:rFonts w:eastAsiaTheme="majorEastAsia" w:cstheme="majorBidi"/>
      <w:color w:val="272727" w:themeColor="text1" w:themeTint="D8"/>
    </w:rPr>
  </w:style>
  <w:style w:type="paragraph" w:styleId="Title">
    <w:name w:val="Title"/>
    <w:basedOn w:val="Normal"/>
    <w:next w:val="Normal"/>
    <w:link w:val="TitleChar"/>
    <w:uiPriority w:val="10"/>
    <w:qFormat/>
    <w:rsid w:val="00FE0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A4C"/>
    <w:pPr>
      <w:spacing w:before="160"/>
      <w:jc w:val="center"/>
    </w:pPr>
    <w:rPr>
      <w:i/>
      <w:iCs/>
      <w:color w:val="404040" w:themeColor="text1" w:themeTint="BF"/>
    </w:rPr>
  </w:style>
  <w:style w:type="character" w:customStyle="1" w:styleId="QuoteChar">
    <w:name w:val="Quote Char"/>
    <w:basedOn w:val="DefaultParagraphFont"/>
    <w:link w:val="Quote"/>
    <w:uiPriority w:val="29"/>
    <w:rsid w:val="00FE0A4C"/>
    <w:rPr>
      <w:i/>
      <w:iCs/>
      <w:color w:val="404040" w:themeColor="text1" w:themeTint="BF"/>
    </w:rPr>
  </w:style>
  <w:style w:type="paragraph" w:styleId="ListParagraph">
    <w:name w:val="List Paragraph"/>
    <w:basedOn w:val="Normal"/>
    <w:uiPriority w:val="34"/>
    <w:qFormat/>
    <w:rsid w:val="00FE0A4C"/>
    <w:pPr>
      <w:ind w:left="720"/>
      <w:contextualSpacing/>
    </w:pPr>
  </w:style>
  <w:style w:type="character" w:styleId="IntenseEmphasis">
    <w:name w:val="Intense Emphasis"/>
    <w:basedOn w:val="DefaultParagraphFont"/>
    <w:uiPriority w:val="21"/>
    <w:qFormat/>
    <w:rsid w:val="00FE0A4C"/>
    <w:rPr>
      <w:i/>
      <w:iCs/>
      <w:color w:val="0F4761" w:themeColor="accent1" w:themeShade="BF"/>
    </w:rPr>
  </w:style>
  <w:style w:type="paragraph" w:styleId="IntenseQuote">
    <w:name w:val="Intense Quote"/>
    <w:basedOn w:val="Normal"/>
    <w:next w:val="Normal"/>
    <w:link w:val="IntenseQuoteChar"/>
    <w:uiPriority w:val="30"/>
    <w:qFormat/>
    <w:rsid w:val="00FE0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A4C"/>
    <w:rPr>
      <w:i/>
      <w:iCs/>
      <w:color w:val="0F4761" w:themeColor="accent1" w:themeShade="BF"/>
    </w:rPr>
  </w:style>
  <w:style w:type="character" w:styleId="IntenseReference">
    <w:name w:val="Intense Reference"/>
    <w:basedOn w:val="DefaultParagraphFont"/>
    <w:uiPriority w:val="32"/>
    <w:qFormat/>
    <w:rsid w:val="00FE0A4C"/>
    <w:rPr>
      <w:b/>
      <w:bCs/>
      <w:smallCaps/>
      <w:color w:val="0F4761" w:themeColor="accent1" w:themeShade="BF"/>
      <w:spacing w:val="5"/>
    </w:rPr>
  </w:style>
  <w:style w:type="paragraph" w:customStyle="1" w:styleId="paragraph">
    <w:name w:val="paragraph"/>
    <w:basedOn w:val="Normal"/>
    <w:rsid w:val="00FE0A4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E0A4C"/>
  </w:style>
  <w:style w:type="character" w:customStyle="1" w:styleId="eop">
    <w:name w:val="eop"/>
    <w:basedOn w:val="DefaultParagraphFont"/>
    <w:rsid w:val="00FE0A4C"/>
  </w:style>
  <w:style w:type="paragraph" w:styleId="Revision">
    <w:name w:val="Revision"/>
    <w:hidden/>
    <w:uiPriority w:val="99"/>
    <w:semiHidden/>
    <w:rsid w:val="004D3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4882">
      <w:bodyDiv w:val="1"/>
      <w:marLeft w:val="0"/>
      <w:marRight w:val="0"/>
      <w:marTop w:val="0"/>
      <w:marBottom w:val="0"/>
      <w:divBdr>
        <w:top w:val="none" w:sz="0" w:space="0" w:color="auto"/>
        <w:left w:val="none" w:sz="0" w:space="0" w:color="auto"/>
        <w:bottom w:val="none" w:sz="0" w:space="0" w:color="auto"/>
        <w:right w:val="none" w:sz="0" w:space="0" w:color="auto"/>
      </w:divBdr>
      <w:divsChild>
        <w:div w:id="1159229403">
          <w:marLeft w:val="0"/>
          <w:marRight w:val="0"/>
          <w:marTop w:val="0"/>
          <w:marBottom w:val="0"/>
          <w:divBdr>
            <w:top w:val="none" w:sz="0" w:space="0" w:color="auto"/>
            <w:left w:val="none" w:sz="0" w:space="0" w:color="auto"/>
            <w:bottom w:val="none" w:sz="0" w:space="0" w:color="auto"/>
            <w:right w:val="none" w:sz="0" w:space="0" w:color="auto"/>
          </w:divBdr>
        </w:div>
        <w:div w:id="1470594323">
          <w:marLeft w:val="0"/>
          <w:marRight w:val="0"/>
          <w:marTop w:val="0"/>
          <w:marBottom w:val="0"/>
          <w:divBdr>
            <w:top w:val="none" w:sz="0" w:space="0" w:color="auto"/>
            <w:left w:val="none" w:sz="0" w:space="0" w:color="auto"/>
            <w:bottom w:val="none" w:sz="0" w:space="0" w:color="auto"/>
            <w:right w:val="none" w:sz="0" w:space="0" w:color="auto"/>
          </w:divBdr>
        </w:div>
        <w:div w:id="1698845976">
          <w:marLeft w:val="0"/>
          <w:marRight w:val="0"/>
          <w:marTop w:val="0"/>
          <w:marBottom w:val="0"/>
          <w:divBdr>
            <w:top w:val="none" w:sz="0" w:space="0" w:color="auto"/>
            <w:left w:val="none" w:sz="0" w:space="0" w:color="auto"/>
            <w:bottom w:val="none" w:sz="0" w:space="0" w:color="auto"/>
            <w:right w:val="none" w:sz="0" w:space="0" w:color="auto"/>
          </w:divBdr>
        </w:div>
        <w:div w:id="536889703">
          <w:marLeft w:val="0"/>
          <w:marRight w:val="0"/>
          <w:marTop w:val="0"/>
          <w:marBottom w:val="0"/>
          <w:divBdr>
            <w:top w:val="none" w:sz="0" w:space="0" w:color="auto"/>
            <w:left w:val="none" w:sz="0" w:space="0" w:color="auto"/>
            <w:bottom w:val="none" w:sz="0" w:space="0" w:color="auto"/>
            <w:right w:val="none" w:sz="0" w:space="0" w:color="auto"/>
          </w:divBdr>
        </w:div>
        <w:div w:id="948580973">
          <w:marLeft w:val="0"/>
          <w:marRight w:val="0"/>
          <w:marTop w:val="0"/>
          <w:marBottom w:val="0"/>
          <w:divBdr>
            <w:top w:val="none" w:sz="0" w:space="0" w:color="auto"/>
            <w:left w:val="none" w:sz="0" w:space="0" w:color="auto"/>
            <w:bottom w:val="none" w:sz="0" w:space="0" w:color="auto"/>
            <w:right w:val="none" w:sz="0" w:space="0" w:color="auto"/>
          </w:divBdr>
        </w:div>
        <w:div w:id="1878884210">
          <w:marLeft w:val="0"/>
          <w:marRight w:val="0"/>
          <w:marTop w:val="0"/>
          <w:marBottom w:val="0"/>
          <w:divBdr>
            <w:top w:val="none" w:sz="0" w:space="0" w:color="auto"/>
            <w:left w:val="none" w:sz="0" w:space="0" w:color="auto"/>
            <w:bottom w:val="none" w:sz="0" w:space="0" w:color="auto"/>
            <w:right w:val="none" w:sz="0" w:space="0" w:color="auto"/>
          </w:divBdr>
        </w:div>
        <w:div w:id="953705686">
          <w:marLeft w:val="0"/>
          <w:marRight w:val="0"/>
          <w:marTop w:val="0"/>
          <w:marBottom w:val="0"/>
          <w:divBdr>
            <w:top w:val="none" w:sz="0" w:space="0" w:color="auto"/>
            <w:left w:val="none" w:sz="0" w:space="0" w:color="auto"/>
            <w:bottom w:val="none" w:sz="0" w:space="0" w:color="auto"/>
            <w:right w:val="none" w:sz="0" w:space="0" w:color="auto"/>
          </w:divBdr>
        </w:div>
        <w:div w:id="65107297">
          <w:marLeft w:val="0"/>
          <w:marRight w:val="0"/>
          <w:marTop w:val="0"/>
          <w:marBottom w:val="0"/>
          <w:divBdr>
            <w:top w:val="none" w:sz="0" w:space="0" w:color="auto"/>
            <w:left w:val="none" w:sz="0" w:space="0" w:color="auto"/>
            <w:bottom w:val="none" w:sz="0" w:space="0" w:color="auto"/>
            <w:right w:val="none" w:sz="0" w:space="0" w:color="auto"/>
          </w:divBdr>
        </w:div>
        <w:div w:id="1417480980">
          <w:marLeft w:val="0"/>
          <w:marRight w:val="0"/>
          <w:marTop w:val="0"/>
          <w:marBottom w:val="0"/>
          <w:divBdr>
            <w:top w:val="none" w:sz="0" w:space="0" w:color="auto"/>
            <w:left w:val="none" w:sz="0" w:space="0" w:color="auto"/>
            <w:bottom w:val="none" w:sz="0" w:space="0" w:color="auto"/>
            <w:right w:val="none" w:sz="0" w:space="0" w:color="auto"/>
          </w:divBdr>
        </w:div>
        <w:div w:id="130023561">
          <w:marLeft w:val="0"/>
          <w:marRight w:val="0"/>
          <w:marTop w:val="0"/>
          <w:marBottom w:val="0"/>
          <w:divBdr>
            <w:top w:val="none" w:sz="0" w:space="0" w:color="auto"/>
            <w:left w:val="none" w:sz="0" w:space="0" w:color="auto"/>
            <w:bottom w:val="none" w:sz="0" w:space="0" w:color="auto"/>
            <w:right w:val="none" w:sz="0" w:space="0" w:color="auto"/>
          </w:divBdr>
        </w:div>
        <w:div w:id="1953048118">
          <w:marLeft w:val="0"/>
          <w:marRight w:val="0"/>
          <w:marTop w:val="0"/>
          <w:marBottom w:val="0"/>
          <w:divBdr>
            <w:top w:val="none" w:sz="0" w:space="0" w:color="auto"/>
            <w:left w:val="none" w:sz="0" w:space="0" w:color="auto"/>
            <w:bottom w:val="none" w:sz="0" w:space="0" w:color="auto"/>
            <w:right w:val="none" w:sz="0" w:space="0" w:color="auto"/>
          </w:divBdr>
        </w:div>
        <w:div w:id="338393728">
          <w:marLeft w:val="0"/>
          <w:marRight w:val="0"/>
          <w:marTop w:val="0"/>
          <w:marBottom w:val="0"/>
          <w:divBdr>
            <w:top w:val="none" w:sz="0" w:space="0" w:color="auto"/>
            <w:left w:val="none" w:sz="0" w:space="0" w:color="auto"/>
            <w:bottom w:val="none" w:sz="0" w:space="0" w:color="auto"/>
            <w:right w:val="none" w:sz="0" w:space="0" w:color="auto"/>
          </w:divBdr>
        </w:div>
        <w:div w:id="623923636">
          <w:marLeft w:val="0"/>
          <w:marRight w:val="0"/>
          <w:marTop w:val="0"/>
          <w:marBottom w:val="0"/>
          <w:divBdr>
            <w:top w:val="none" w:sz="0" w:space="0" w:color="auto"/>
            <w:left w:val="none" w:sz="0" w:space="0" w:color="auto"/>
            <w:bottom w:val="none" w:sz="0" w:space="0" w:color="auto"/>
            <w:right w:val="none" w:sz="0" w:space="0" w:color="auto"/>
          </w:divBdr>
        </w:div>
        <w:div w:id="331377120">
          <w:marLeft w:val="0"/>
          <w:marRight w:val="0"/>
          <w:marTop w:val="0"/>
          <w:marBottom w:val="0"/>
          <w:divBdr>
            <w:top w:val="none" w:sz="0" w:space="0" w:color="auto"/>
            <w:left w:val="none" w:sz="0" w:space="0" w:color="auto"/>
            <w:bottom w:val="none" w:sz="0" w:space="0" w:color="auto"/>
            <w:right w:val="none" w:sz="0" w:space="0" w:color="auto"/>
          </w:divBdr>
        </w:div>
        <w:div w:id="150408091">
          <w:marLeft w:val="0"/>
          <w:marRight w:val="0"/>
          <w:marTop w:val="0"/>
          <w:marBottom w:val="0"/>
          <w:divBdr>
            <w:top w:val="none" w:sz="0" w:space="0" w:color="auto"/>
            <w:left w:val="none" w:sz="0" w:space="0" w:color="auto"/>
            <w:bottom w:val="none" w:sz="0" w:space="0" w:color="auto"/>
            <w:right w:val="none" w:sz="0" w:space="0" w:color="auto"/>
          </w:divBdr>
        </w:div>
        <w:div w:id="1262687741">
          <w:marLeft w:val="0"/>
          <w:marRight w:val="0"/>
          <w:marTop w:val="0"/>
          <w:marBottom w:val="0"/>
          <w:divBdr>
            <w:top w:val="none" w:sz="0" w:space="0" w:color="auto"/>
            <w:left w:val="none" w:sz="0" w:space="0" w:color="auto"/>
            <w:bottom w:val="none" w:sz="0" w:space="0" w:color="auto"/>
            <w:right w:val="none" w:sz="0" w:space="0" w:color="auto"/>
          </w:divBdr>
        </w:div>
      </w:divsChild>
    </w:div>
    <w:div w:id="163935524">
      <w:bodyDiv w:val="1"/>
      <w:marLeft w:val="0"/>
      <w:marRight w:val="0"/>
      <w:marTop w:val="0"/>
      <w:marBottom w:val="0"/>
      <w:divBdr>
        <w:top w:val="none" w:sz="0" w:space="0" w:color="auto"/>
        <w:left w:val="none" w:sz="0" w:space="0" w:color="auto"/>
        <w:bottom w:val="none" w:sz="0" w:space="0" w:color="auto"/>
        <w:right w:val="none" w:sz="0" w:space="0" w:color="auto"/>
      </w:divBdr>
    </w:div>
    <w:div w:id="1839955514">
      <w:bodyDiv w:val="1"/>
      <w:marLeft w:val="0"/>
      <w:marRight w:val="0"/>
      <w:marTop w:val="0"/>
      <w:marBottom w:val="0"/>
      <w:divBdr>
        <w:top w:val="none" w:sz="0" w:space="0" w:color="auto"/>
        <w:left w:val="none" w:sz="0" w:space="0" w:color="auto"/>
        <w:bottom w:val="none" w:sz="0" w:space="0" w:color="auto"/>
        <w:right w:val="none" w:sz="0" w:space="0" w:color="auto"/>
      </w:divBdr>
      <w:divsChild>
        <w:div w:id="776369807">
          <w:marLeft w:val="0"/>
          <w:marRight w:val="0"/>
          <w:marTop w:val="0"/>
          <w:marBottom w:val="0"/>
          <w:divBdr>
            <w:top w:val="none" w:sz="0" w:space="0" w:color="auto"/>
            <w:left w:val="none" w:sz="0" w:space="0" w:color="auto"/>
            <w:bottom w:val="none" w:sz="0" w:space="0" w:color="auto"/>
            <w:right w:val="none" w:sz="0" w:space="0" w:color="auto"/>
          </w:divBdr>
          <w:divsChild>
            <w:div w:id="497768787">
              <w:marLeft w:val="0"/>
              <w:marRight w:val="0"/>
              <w:marTop w:val="0"/>
              <w:marBottom w:val="0"/>
              <w:divBdr>
                <w:top w:val="none" w:sz="0" w:space="0" w:color="auto"/>
                <w:left w:val="none" w:sz="0" w:space="0" w:color="auto"/>
                <w:bottom w:val="none" w:sz="0" w:space="0" w:color="auto"/>
                <w:right w:val="none" w:sz="0" w:space="0" w:color="auto"/>
              </w:divBdr>
            </w:div>
            <w:div w:id="1723139194">
              <w:marLeft w:val="0"/>
              <w:marRight w:val="0"/>
              <w:marTop w:val="0"/>
              <w:marBottom w:val="0"/>
              <w:divBdr>
                <w:top w:val="none" w:sz="0" w:space="0" w:color="auto"/>
                <w:left w:val="none" w:sz="0" w:space="0" w:color="auto"/>
                <w:bottom w:val="none" w:sz="0" w:space="0" w:color="auto"/>
                <w:right w:val="none" w:sz="0" w:space="0" w:color="auto"/>
              </w:divBdr>
            </w:div>
            <w:div w:id="1243372647">
              <w:marLeft w:val="0"/>
              <w:marRight w:val="0"/>
              <w:marTop w:val="0"/>
              <w:marBottom w:val="0"/>
              <w:divBdr>
                <w:top w:val="none" w:sz="0" w:space="0" w:color="auto"/>
                <w:left w:val="none" w:sz="0" w:space="0" w:color="auto"/>
                <w:bottom w:val="none" w:sz="0" w:space="0" w:color="auto"/>
                <w:right w:val="none" w:sz="0" w:space="0" w:color="auto"/>
              </w:divBdr>
            </w:div>
            <w:div w:id="217017820">
              <w:marLeft w:val="0"/>
              <w:marRight w:val="0"/>
              <w:marTop w:val="0"/>
              <w:marBottom w:val="0"/>
              <w:divBdr>
                <w:top w:val="none" w:sz="0" w:space="0" w:color="auto"/>
                <w:left w:val="none" w:sz="0" w:space="0" w:color="auto"/>
                <w:bottom w:val="none" w:sz="0" w:space="0" w:color="auto"/>
                <w:right w:val="none" w:sz="0" w:space="0" w:color="auto"/>
              </w:divBdr>
            </w:div>
            <w:div w:id="1110856787">
              <w:marLeft w:val="0"/>
              <w:marRight w:val="0"/>
              <w:marTop w:val="0"/>
              <w:marBottom w:val="0"/>
              <w:divBdr>
                <w:top w:val="none" w:sz="0" w:space="0" w:color="auto"/>
                <w:left w:val="none" w:sz="0" w:space="0" w:color="auto"/>
                <w:bottom w:val="none" w:sz="0" w:space="0" w:color="auto"/>
                <w:right w:val="none" w:sz="0" w:space="0" w:color="auto"/>
              </w:divBdr>
            </w:div>
            <w:div w:id="488601257">
              <w:marLeft w:val="0"/>
              <w:marRight w:val="0"/>
              <w:marTop w:val="0"/>
              <w:marBottom w:val="0"/>
              <w:divBdr>
                <w:top w:val="none" w:sz="0" w:space="0" w:color="auto"/>
                <w:left w:val="none" w:sz="0" w:space="0" w:color="auto"/>
                <w:bottom w:val="none" w:sz="0" w:space="0" w:color="auto"/>
                <w:right w:val="none" w:sz="0" w:space="0" w:color="auto"/>
              </w:divBdr>
            </w:div>
            <w:div w:id="1267270000">
              <w:marLeft w:val="0"/>
              <w:marRight w:val="0"/>
              <w:marTop w:val="0"/>
              <w:marBottom w:val="0"/>
              <w:divBdr>
                <w:top w:val="none" w:sz="0" w:space="0" w:color="auto"/>
                <w:left w:val="none" w:sz="0" w:space="0" w:color="auto"/>
                <w:bottom w:val="none" w:sz="0" w:space="0" w:color="auto"/>
                <w:right w:val="none" w:sz="0" w:space="0" w:color="auto"/>
              </w:divBdr>
            </w:div>
            <w:div w:id="585651727">
              <w:marLeft w:val="0"/>
              <w:marRight w:val="0"/>
              <w:marTop w:val="0"/>
              <w:marBottom w:val="0"/>
              <w:divBdr>
                <w:top w:val="none" w:sz="0" w:space="0" w:color="auto"/>
                <w:left w:val="none" w:sz="0" w:space="0" w:color="auto"/>
                <w:bottom w:val="none" w:sz="0" w:space="0" w:color="auto"/>
                <w:right w:val="none" w:sz="0" w:space="0" w:color="auto"/>
              </w:divBdr>
            </w:div>
            <w:div w:id="650212283">
              <w:marLeft w:val="0"/>
              <w:marRight w:val="0"/>
              <w:marTop w:val="0"/>
              <w:marBottom w:val="0"/>
              <w:divBdr>
                <w:top w:val="none" w:sz="0" w:space="0" w:color="auto"/>
                <w:left w:val="none" w:sz="0" w:space="0" w:color="auto"/>
                <w:bottom w:val="none" w:sz="0" w:space="0" w:color="auto"/>
                <w:right w:val="none" w:sz="0" w:space="0" w:color="auto"/>
              </w:divBdr>
            </w:div>
            <w:div w:id="91362460">
              <w:marLeft w:val="0"/>
              <w:marRight w:val="0"/>
              <w:marTop w:val="0"/>
              <w:marBottom w:val="0"/>
              <w:divBdr>
                <w:top w:val="none" w:sz="0" w:space="0" w:color="auto"/>
                <w:left w:val="none" w:sz="0" w:space="0" w:color="auto"/>
                <w:bottom w:val="none" w:sz="0" w:space="0" w:color="auto"/>
                <w:right w:val="none" w:sz="0" w:space="0" w:color="auto"/>
              </w:divBdr>
            </w:div>
          </w:divsChild>
        </w:div>
        <w:div w:id="1860461567">
          <w:marLeft w:val="0"/>
          <w:marRight w:val="0"/>
          <w:marTop w:val="0"/>
          <w:marBottom w:val="0"/>
          <w:divBdr>
            <w:top w:val="none" w:sz="0" w:space="0" w:color="auto"/>
            <w:left w:val="none" w:sz="0" w:space="0" w:color="auto"/>
            <w:bottom w:val="none" w:sz="0" w:space="0" w:color="auto"/>
            <w:right w:val="none" w:sz="0" w:space="0" w:color="auto"/>
          </w:divBdr>
        </w:div>
        <w:div w:id="1491673256">
          <w:marLeft w:val="0"/>
          <w:marRight w:val="0"/>
          <w:marTop w:val="0"/>
          <w:marBottom w:val="0"/>
          <w:divBdr>
            <w:top w:val="none" w:sz="0" w:space="0" w:color="auto"/>
            <w:left w:val="none" w:sz="0" w:space="0" w:color="auto"/>
            <w:bottom w:val="none" w:sz="0" w:space="0" w:color="auto"/>
            <w:right w:val="none" w:sz="0" w:space="0" w:color="auto"/>
          </w:divBdr>
        </w:div>
        <w:div w:id="1412462049">
          <w:marLeft w:val="0"/>
          <w:marRight w:val="0"/>
          <w:marTop w:val="0"/>
          <w:marBottom w:val="0"/>
          <w:divBdr>
            <w:top w:val="none" w:sz="0" w:space="0" w:color="auto"/>
            <w:left w:val="none" w:sz="0" w:space="0" w:color="auto"/>
            <w:bottom w:val="none" w:sz="0" w:space="0" w:color="auto"/>
            <w:right w:val="none" w:sz="0" w:space="0" w:color="auto"/>
          </w:divBdr>
        </w:div>
      </w:divsChild>
    </w:div>
    <w:div w:id="20416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0</DocSecurity>
  <Lines>25</Lines>
  <Paragraphs>7</Paragraphs>
  <ScaleCrop>false</ScaleCrop>
  <Company>City of Tulsa</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Felix-Warwick, Erica</dc:creator>
  <cp:keywords/>
  <dc:description/>
  <cp:lastModifiedBy>Felix-Warwick, Erica</cp:lastModifiedBy>
  <cp:revision>3</cp:revision>
  <cp:lastPrinted>2025-03-17T13:47:00Z</cp:lastPrinted>
  <dcterms:created xsi:type="dcterms:W3CDTF">2025-03-17T13:48:00Z</dcterms:created>
  <dcterms:modified xsi:type="dcterms:W3CDTF">2025-03-17T13:48:00Z</dcterms:modified>
</cp:coreProperties>
</file>