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AB59" w14:textId="77777777" w:rsidR="00BD5DE5" w:rsidRDefault="00BD5DE5" w:rsidP="5647B939">
      <w:pPr>
        <w:pStyle w:val="Title"/>
        <w:tabs>
          <w:tab w:val="left" w:pos="2250"/>
        </w:tabs>
        <w:spacing w:line="276" w:lineRule="auto"/>
      </w:pPr>
      <w:r>
        <w:t>Memorandum</w:t>
      </w:r>
    </w:p>
    <w:p w14:paraId="0ADC4C07" w14:textId="77777777" w:rsidR="00BD5DE5" w:rsidRDefault="00BD5DE5" w:rsidP="5647B939">
      <w:pPr>
        <w:tabs>
          <w:tab w:val="left" w:pos="2250"/>
        </w:tabs>
        <w:spacing w:line="276" w:lineRule="auto"/>
      </w:pPr>
    </w:p>
    <w:p w14:paraId="405D6217" w14:textId="07A39A73" w:rsidR="00BD5DE5" w:rsidRDefault="00BD5DE5" w:rsidP="5647B939">
      <w:pPr>
        <w:spacing w:line="276" w:lineRule="auto"/>
      </w:pPr>
      <w:r w:rsidRPr="5647B939">
        <w:rPr>
          <w:b/>
          <w:bCs/>
        </w:rPr>
        <w:t>Date:</w:t>
      </w:r>
      <w:r>
        <w:tab/>
      </w:r>
      <w:r>
        <w:tab/>
      </w:r>
      <w:r w:rsidR="00677239">
        <w:t>March 17, 2022</w:t>
      </w:r>
      <w:r>
        <w:t xml:space="preserve"> </w:t>
      </w:r>
    </w:p>
    <w:p w14:paraId="5988D303" w14:textId="77777777" w:rsidR="00BD5DE5" w:rsidRDefault="00BD5DE5" w:rsidP="5647B939">
      <w:pPr>
        <w:spacing w:line="276" w:lineRule="auto"/>
      </w:pPr>
    </w:p>
    <w:p w14:paraId="7113FEF1" w14:textId="77777777" w:rsidR="00BD5DE5" w:rsidRDefault="00BD5DE5" w:rsidP="5647B939">
      <w:pPr>
        <w:spacing w:line="276" w:lineRule="auto"/>
      </w:pPr>
      <w:r w:rsidRPr="5647B939">
        <w:rPr>
          <w:b/>
          <w:bCs/>
        </w:rPr>
        <w:t>To:</w:t>
      </w:r>
      <w:r>
        <w:t xml:space="preserve"> </w:t>
      </w:r>
      <w:r>
        <w:tab/>
      </w:r>
      <w:r>
        <w:tab/>
      </w:r>
      <w:r w:rsidR="00034FF3">
        <w:t>Small Business Enterprise Oversight Committee Members</w:t>
      </w:r>
    </w:p>
    <w:p w14:paraId="27285020" w14:textId="77777777" w:rsidR="00034FF3" w:rsidRDefault="00034FF3" w:rsidP="5647B939">
      <w:pPr>
        <w:spacing w:line="276" w:lineRule="auto"/>
      </w:pPr>
    </w:p>
    <w:p w14:paraId="509696BE" w14:textId="77777777" w:rsidR="00BD5DE5" w:rsidRDefault="00BD5DE5" w:rsidP="5647B939">
      <w:pPr>
        <w:spacing w:line="276" w:lineRule="auto"/>
      </w:pPr>
      <w:r w:rsidRPr="5647B939">
        <w:rPr>
          <w:b/>
          <w:bCs/>
        </w:rPr>
        <w:t xml:space="preserve">From: </w:t>
      </w:r>
      <w:r>
        <w:tab/>
      </w:r>
      <w:r>
        <w:tab/>
      </w:r>
      <w:r w:rsidR="00034FF3">
        <w:t>Jonah Toay</w:t>
      </w:r>
      <w:r>
        <w:t xml:space="preserve">, </w:t>
      </w:r>
      <w:r w:rsidR="00543A16">
        <w:t>Small Business and Entrepreneurship Fellow</w:t>
      </w:r>
    </w:p>
    <w:p w14:paraId="3C21DCED" w14:textId="77777777" w:rsidR="00BD5DE5" w:rsidRDefault="00BD5DE5" w:rsidP="5647B939">
      <w:pPr>
        <w:spacing w:line="276" w:lineRule="auto"/>
      </w:pPr>
    </w:p>
    <w:p w14:paraId="7A254B22" w14:textId="77777777" w:rsidR="00BD5DE5" w:rsidRDefault="00BD5DE5" w:rsidP="5647B939">
      <w:pPr>
        <w:spacing w:line="276" w:lineRule="auto"/>
        <w:ind w:left="1440" w:hanging="1440"/>
        <w:rPr>
          <w:rFonts w:eastAsia="Times New Roman"/>
        </w:rPr>
      </w:pPr>
      <w:r w:rsidRPr="5647B939">
        <w:rPr>
          <w:b/>
          <w:bCs/>
        </w:rPr>
        <w:t>Subject:</w:t>
      </w:r>
      <w:r>
        <w:t xml:space="preserve"> </w:t>
      </w:r>
      <w:r>
        <w:tab/>
      </w:r>
      <w:r w:rsidR="00543A16">
        <w:t xml:space="preserve">September 2021 SBE Utilization Report </w:t>
      </w:r>
    </w:p>
    <w:p w14:paraId="03C04BCB" w14:textId="77777777" w:rsidR="00BD5DE5" w:rsidRDefault="00BD5DE5" w:rsidP="5647B939">
      <w:pPr>
        <w:tabs>
          <w:tab w:val="left" w:pos="2250"/>
        </w:tabs>
        <w:spacing w:line="276" w:lineRule="auto"/>
      </w:pPr>
    </w:p>
    <w:p w14:paraId="032868B7" w14:textId="77777777" w:rsidR="00BD5DE5" w:rsidRPr="00085525" w:rsidRDefault="00892B3D" w:rsidP="5647B939">
      <w:pPr>
        <w:pStyle w:val="Heading2"/>
        <w:spacing w:line="276" w:lineRule="auto"/>
        <w:rPr>
          <w:sz w:val="32"/>
          <w:szCs w:val="32"/>
        </w:rPr>
      </w:pPr>
      <w:r w:rsidRPr="434F1DCE">
        <w:rPr>
          <w:sz w:val="32"/>
          <w:szCs w:val="32"/>
        </w:rPr>
        <w:t>Purpose</w:t>
      </w:r>
    </w:p>
    <w:p w14:paraId="4045F046" w14:textId="77777777" w:rsidR="434F1DCE" w:rsidRDefault="434F1DCE" w:rsidP="434F1DCE">
      <w:pPr>
        <w:spacing w:line="276" w:lineRule="auto"/>
        <w:jc w:val="both"/>
      </w:pPr>
    </w:p>
    <w:p w14:paraId="561F8552" w14:textId="77777777" w:rsidR="00BD5DE5" w:rsidRDefault="009917CB" w:rsidP="434F1DCE">
      <w:pPr>
        <w:spacing w:line="276" w:lineRule="auto"/>
        <w:jc w:val="both"/>
      </w:pPr>
      <w:r>
        <w:t>The Small Business Enterprise (SBE) Program, established by Executive Order in January 2018, aims to support the growth of small enterprises in the Tulsa metro by promoting opportunities for those businesses to provide goods and services to the City of Tulsa and by helping them develop partnerships with larger enterprises and general contractors.</w:t>
      </w:r>
    </w:p>
    <w:p w14:paraId="124A8E1B" w14:textId="77777777" w:rsidR="009917CB" w:rsidRDefault="009917CB" w:rsidP="5647B939">
      <w:pPr>
        <w:spacing w:line="276" w:lineRule="auto"/>
      </w:pPr>
    </w:p>
    <w:p w14:paraId="513A6A30" w14:textId="77777777" w:rsidR="00BD5DE5" w:rsidRPr="00085525" w:rsidRDefault="00BD5DE5" w:rsidP="5647B939">
      <w:pPr>
        <w:pStyle w:val="Heading2Style"/>
        <w:rPr>
          <w:sz w:val="32"/>
          <w:szCs w:val="32"/>
        </w:rPr>
      </w:pPr>
      <w:r w:rsidRPr="434F1DCE">
        <w:rPr>
          <w:sz w:val="32"/>
          <w:szCs w:val="32"/>
        </w:rPr>
        <w:t>Background and Overview</w:t>
      </w:r>
    </w:p>
    <w:p w14:paraId="49089F1C" w14:textId="77777777" w:rsidR="434F1DCE" w:rsidRDefault="434F1DCE" w:rsidP="434F1DCE">
      <w:pPr>
        <w:spacing w:line="276" w:lineRule="auto"/>
      </w:pPr>
    </w:p>
    <w:p w14:paraId="6ACCCFAF" w14:textId="6E7EB080" w:rsidR="00BD5DE5" w:rsidRDefault="006C320B" w:rsidP="5647B939">
      <w:pPr>
        <w:spacing w:line="276" w:lineRule="auto"/>
      </w:pPr>
      <w:r>
        <w:t>Between 2018 and 202</w:t>
      </w:r>
      <w:r w:rsidR="00096EA6">
        <w:t>2</w:t>
      </w:r>
      <w:r>
        <w:t xml:space="preserve">, the </w:t>
      </w:r>
      <w:proofErr w:type="gramStart"/>
      <w:r>
        <w:t>City</w:t>
      </w:r>
      <w:proofErr w:type="gramEnd"/>
      <w:r>
        <w:t xml:space="preserve"> initiated 1</w:t>
      </w:r>
      <w:r w:rsidR="00965359">
        <w:t>61</w:t>
      </w:r>
      <w:r>
        <w:t xml:space="preserve"> projects totaling $</w:t>
      </w:r>
      <w:r w:rsidR="00133CBE">
        <w:t>4</w:t>
      </w:r>
      <w:r w:rsidR="00965359">
        <w:t>66</w:t>
      </w:r>
      <w:r w:rsidR="002E0939">
        <w:t>.5</w:t>
      </w:r>
      <w:r>
        <w:t xml:space="preserve"> million in projected costs. As of this report, the </w:t>
      </w:r>
      <w:proofErr w:type="gramStart"/>
      <w:r>
        <w:t>City</w:t>
      </w:r>
      <w:proofErr w:type="gramEnd"/>
      <w:r>
        <w:t xml:space="preserve"> has completed </w:t>
      </w:r>
      <w:r w:rsidR="00870D2B">
        <w:t>85</w:t>
      </w:r>
      <w:r>
        <w:t xml:space="preserve"> of these projects totaling $</w:t>
      </w:r>
      <w:r w:rsidR="001878CF">
        <w:t>11</w:t>
      </w:r>
      <w:r w:rsidR="002C252F">
        <w:t>4</w:t>
      </w:r>
      <w:r w:rsidR="002E0939">
        <w:t>.2</w:t>
      </w:r>
      <w:r>
        <w:t xml:space="preserve"> million in actual costs. Table 1 below summarizes the number of projects and project expenses by year.</w:t>
      </w:r>
    </w:p>
    <w:p w14:paraId="4E485699" w14:textId="77777777" w:rsidR="00085525" w:rsidRDefault="00085525" w:rsidP="5647B939">
      <w:pPr>
        <w:spacing w:line="276" w:lineRule="auto"/>
      </w:pPr>
    </w:p>
    <w:p w14:paraId="482F0652" w14:textId="77777777" w:rsidR="006C320B" w:rsidRDefault="008E3EA0" w:rsidP="5647B939">
      <w:pPr>
        <w:spacing w:line="276" w:lineRule="auto"/>
        <w:rPr>
          <w:i/>
          <w:iCs/>
        </w:rPr>
      </w:pPr>
      <w:r w:rsidRPr="5647B939">
        <w:rPr>
          <w:i/>
          <w:iCs/>
        </w:rPr>
        <w:t>Table 1. Engineering and Streets &amp; Stormwater Projects Summary</w:t>
      </w:r>
    </w:p>
    <w:tbl>
      <w:tblPr>
        <w:tblStyle w:val="TableGrid"/>
        <w:tblW w:w="7710" w:type="dxa"/>
        <w:tblLook w:val="04E0" w:firstRow="1" w:lastRow="1" w:firstColumn="1" w:lastColumn="0" w:noHBand="0" w:noVBand="1"/>
      </w:tblPr>
      <w:tblGrid>
        <w:gridCol w:w="1110"/>
        <w:gridCol w:w="1140"/>
        <w:gridCol w:w="1890"/>
        <w:gridCol w:w="1440"/>
        <w:gridCol w:w="2130"/>
      </w:tblGrid>
      <w:tr w:rsidR="00301C2C" w:rsidRPr="007546A4" w14:paraId="12E751A6" w14:textId="77777777" w:rsidTr="434F1DCE">
        <w:trPr>
          <w:trHeight w:val="300"/>
        </w:trPr>
        <w:tc>
          <w:tcPr>
            <w:tcW w:w="1110" w:type="dxa"/>
            <w:shd w:val="clear" w:color="auto" w:fill="4F6DA9" w:themeFill="accent1"/>
            <w:noWrap/>
            <w:hideMark/>
          </w:tcPr>
          <w:p w14:paraId="4F12505B" w14:textId="77777777" w:rsidR="007546A4" w:rsidRPr="00244D1D" w:rsidRDefault="18838E02" w:rsidP="434F1DCE">
            <w:pPr>
              <w:spacing w:line="276" w:lineRule="auto"/>
              <w:jc w:val="center"/>
              <w:rPr>
                <w:b/>
                <w:bCs/>
                <w:color w:val="FFFFFF" w:themeColor="background1"/>
              </w:rPr>
            </w:pPr>
            <w:r w:rsidRPr="434F1DCE">
              <w:rPr>
                <w:b/>
                <w:bCs/>
                <w:color w:val="FFFFFF" w:themeColor="background1"/>
              </w:rPr>
              <w:t>Year</w:t>
            </w:r>
          </w:p>
        </w:tc>
        <w:tc>
          <w:tcPr>
            <w:tcW w:w="1140" w:type="dxa"/>
            <w:shd w:val="clear" w:color="auto" w:fill="4F6DA9" w:themeFill="accent1"/>
            <w:noWrap/>
            <w:hideMark/>
          </w:tcPr>
          <w:p w14:paraId="0CA1815D" w14:textId="77777777" w:rsidR="007546A4" w:rsidRPr="00244D1D" w:rsidRDefault="18838E02" w:rsidP="434F1DCE">
            <w:pPr>
              <w:spacing w:line="276" w:lineRule="auto"/>
              <w:jc w:val="center"/>
              <w:rPr>
                <w:b/>
                <w:bCs/>
                <w:color w:val="FFFFFF" w:themeColor="background1"/>
              </w:rPr>
            </w:pPr>
            <w:r w:rsidRPr="434F1DCE">
              <w:rPr>
                <w:b/>
                <w:bCs/>
                <w:color w:val="FFFFFF" w:themeColor="background1"/>
              </w:rPr>
              <w:t>Projects Initiate</w:t>
            </w:r>
            <w:r w:rsidR="503E7A6E" w:rsidRPr="434F1DCE">
              <w:rPr>
                <w:b/>
                <w:bCs/>
                <w:color w:val="FFFFFF" w:themeColor="background1"/>
              </w:rPr>
              <w:t>d</w:t>
            </w:r>
          </w:p>
        </w:tc>
        <w:tc>
          <w:tcPr>
            <w:tcW w:w="1890" w:type="dxa"/>
            <w:shd w:val="clear" w:color="auto" w:fill="4F6DA9" w:themeFill="accent1"/>
            <w:noWrap/>
            <w:hideMark/>
          </w:tcPr>
          <w:p w14:paraId="2AEC7925" w14:textId="77777777" w:rsidR="007546A4" w:rsidRPr="00244D1D" w:rsidRDefault="18838E02" w:rsidP="434F1DCE">
            <w:pPr>
              <w:spacing w:line="276" w:lineRule="auto"/>
              <w:jc w:val="center"/>
              <w:rPr>
                <w:b/>
                <w:bCs/>
                <w:color w:val="FFFFFF" w:themeColor="background1"/>
              </w:rPr>
            </w:pPr>
            <w:r w:rsidRPr="434F1DCE">
              <w:rPr>
                <w:b/>
                <w:bCs/>
                <w:color w:val="FFFFFF" w:themeColor="background1"/>
              </w:rPr>
              <w:t xml:space="preserve"> Projected Expenses  </w:t>
            </w:r>
          </w:p>
        </w:tc>
        <w:tc>
          <w:tcPr>
            <w:tcW w:w="1440" w:type="dxa"/>
            <w:shd w:val="clear" w:color="auto" w:fill="4F6DA9" w:themeFill="accent1"/>
            <w:noWrap/>
            <w:hideMark/>
          </w:tcPr>
          <w:p w14:paraId="4CF0484C" w14:textId="77777777" w:rsidR="007546A4" w:rsidRPr="00244D1D" w:rsidRDefault="18838E02" w:rsidP="434F1DCE">
            <w:pPr>
              <w:spacing w:line="276" w:lineRule="auto"/>
              <w:jc w:val="center"/>
              <w:rPr>
                <w:b/>
                <w:bCs/>
                <w:color w:val="FFFFFF" w:themeColor="background1"/>
              </w:rPr>
            </w:pPr>
            <w:r w:rsidRPr="434F1DCE">
              <w:rPr>
                <w:b/>
                <w:bCs/>
                <w:color w:val="FFFFFF" w:themeColor="background1"/>
              </w:rPr>
              <w:t>Projects Completed</w:t>
            </w:r>
          </w:p>
        </w:tc>
        <w:tc>
          <w:tcPr>
            <w:tcW w:w="2130" w:type="dxa"/>
            <w:shd w:val="clear" w:color="auto" w:fill="4F6DA9" w:themeFill="accent1"/>
            <w:noWrap/>
            <w:hideMark/>
          </w:tcPr>
          <w:p w14:paraId="39126CDE" w14:textId="77777777" w:rsidR="007546A4" w:rsidRPr="00244D1D" w:rsidRDefault="18838E02" w:rsidP="434F1DCE">
            <w:pPr>
              <w:spacing w:line="276" w:lineRule="auto"/>
              <w:jc w:val="center"/>
              <w:rPr>
                <w:b/>
                <w:bCs/>
                <w:color w:val="FFFFFF" w:themeColor="background1"/>
              </w:rPr>
            </w:pPr>
            <w:r w:rsidRPr="434F1DCE">
              <w:rPr>
                <w:b/>
                <w:bCs/>
                <w:color w:val="FFFFFF" w:themeColor="background1"/>
              </w:rPr>
              <w:t xml:space="preserve"> Actual Expenses to Date </w:t>
            </w:r>
          </w:p>
        </w:tc>
      </w:tr>
      <w:tr w:rsidR="008B726F" w:rsidRPr="007546A4" w14:paraId="6150DC3A" w14:textId="77777777" w:rsidTr="434F1DCE">
        <w:trPr>
          <w:trHeight w:val="195"/>
        </w:trPr>
        <w:tc>
          <w:tcPr>
            <w:tcW w:w="1110" w:type="dxa"/>
            <w:noWrap/>
            <w:hideMark/>
          </w:tcPr>
          <w:p w14:paraId="4F340E58" w14:textId="004BD059" w:rsidR="008B726F" w:rsidRPr="007546A4" w:rsidRDefault="008B726F" w:rsidP="008B726F">
            <w:pPr>
              <w:spacing w:line="276" w:lineRule="auto"/>
            </w:pPr>
            <w:r w:rsidRPr="00FB292D">
              <w:t>2018</w:t>
            </w:r>
          </w:p>
        </w:tc>
        <w:tc>
          <w:tcPr>
            <w:tcW w:w="1140" w:type="dxa"/>
            <w:noWrap/>
            <w:hideMark/>
          </w:tcPr>
          <w:p w14:paraId="1B1712EC" w14:textId="36DC370D" w:rsidR="008B726F" w:rsidRPr="007546A4" w:rsidRDefault="008B726F" w:rsidP="008B726F">
            <w:pPr>
              <w:spacing w:line="276" w:lineRule="auto"/>
              <w:jc w:val="center"/>
            </w:pPr>
            <w:r w:rsidRPr="00FB292D">
              <w:t>43</w:t>
            </w:r>
          </w:p>
        </w:tc>
        <w:tc>
          <w:tcPr>
            <w:tcW w:w="1890" w:type="dxa"/>
            <w:noWrap/>
            <w:hideMark/>
          </w:tcPr>
          <w:p w14:paraId="5F3DB01D" w14:textId="34225465" w:rsidR="008B726F" w:rsidRPr="007546A4" w:rsidRDefault="008B726F" w:rsidP="008B726F">
            <w:pPr>
              <w:spacing w:line="276" w:lineRule="auto"/>
              <w:jc w:val="right"/>
            </w:pPr>
            <w:r w:rsidRPr="00C333FF">
              <w:t xml:space="preserve"> $92,410,614 </w:t>
            </w:r>
          </w:p>
        </w:tc>
        <w:tc>
          <w:tcPr>
            <w:tcW w:w="1440" w:type="dxa"/>
            <w:noWrap/>
            <w:hideMark/>
          </w:tcPr>
          <w:p w14:paraId="5C9A3435" w14:textId="4F0D67BD" w:rsidR="008B726F" w:rsidRPr="007546A4" w:rsidRDefault="008B726F" w:rsidP="008B726F">
            <w:pPr>
              <w:spacing w:line="276" w:lineRule="auto"/>
              <w:jc w:val="center"/>
            </w:pPr>
            <w:r w:rsidRPr="002C60FB">
              <w:t>30</w:t>
            </w:r>
          </w:p>
        </w:tc>
        <w:tc>
          <w:tcPr>
            <w:tcW w:w="2130" w:type="dxa"/>
            <w:noWrap/>
            <w:hideMark/>
          </w:tcPr>
          <w:p w14:paraId="22D1AFC5" w14:textId="2EB5AD76" w:rsidR="008B726F" w:rsidRPr="007546A4" w:rsidRDefault="008B726F" w:rsidP="008B726F">
            <w:pPr>
              <w:spacing w:line="276" w:lineRule="auto"/>
              <w:jc w:val="right"/>
            </w:pPr>
            <w:r w:rsidRPr="00C333FF">
              <w:t xml:space="preserve"> $53,008,697 </w:t>
            </w:r>
          </w:p>
        </w:tc>
      </w:tr>
      <w:tr w:rsidR="008B726F" w:rsidRPr="007546A4" w14:paraId="750556E2" w14:textId="77777777" w:rsidTr="434F1DCE">
        <w:trPr>
          <w:trHeight w:val="195"/>
        </w:trPr>
        <w:tc>
          <w:tcPr>
            <w:tcW w:w="1110" w:type="dxa"/>
            <w:noWrap/>
            <w:hideMark/>
          </w:tcPr>
          <w:p w14:paraId="761D77BB" w14:textId="7AD4C5BE" w:rsidR="008B726F" w:rsidRPr="007546A4" w:rsidRDefault="008B726F" w:rsidP="008B726F">
            <w:pPr>
              <w:spacing w:line="276" w:lineRule="auto"/>
            </w:pPr>
            <w:r w:rsidRPr="00FB292D">
              <w:t>2019</w:t>
            </w:r>
          </w:p>
        </w:tc>
        <w:tc>
          <w:tcPr>
            <w:tcW w:w="1140" w:type="dxa"/>
            <w:noWrap/>
            <w:hideMark/>
          </w:tcPr>
          <w:p w14:paraId="638738E4" w14:textId="2FEA48EE" w:rsidR="008B726F" w:rsidRPr="007546A4" w:rsidRDefault="008B726F" w:rsidP="008B726F">
            <w:pPr>
              <w:spacing w:line="276" w:lineRule="auto"/>
              <w:jc w:val="center"/>
            </w:pPr>
            <w:r w:rsidRPr="00FB292D">
              <w:t>2</w:t>
            </w:r>
            <w:r>
              <w:t>4</w:t>
            </w:r>
          </w:p>
        </w:tc>
        <w:tc>
          <w:tcPr>
            <w:tcW w:w="1890" w:type="dxa"/>
            <w:noWrap/>
            <w:hideMark/>
          </w:tcPr>
          <w:p w14:paraId="559E7BB0" w14:textId="62221403" w:rsidR="008B726F" w:rsidRPr="007546A4" w:rsidRDefault="008B726F" w:rsidP="008B726F">
            <w:pPr>
              <w:spacing w:line="276" w:lineRule="auto"/>
              <w:jc w:val="right"/>
            </w:pPr>
            <w:r w:rsidRPr="00C333FF">
              <w:t xml:space="preserve"> $60,812,721 </w:t>
            </w:r>
          </w:p>
        </w:tc>
        <w:tc>
          <w:tcPr>
            <w:tcW w:w="1440" w:type="dxa"/>
            <w:noWrap/>
            <w:hideMark/>
          </w:tcPr>
          <w:p w14:paraId="3BFBE841" w14:textId="68C891A8" w:rsidR="008B726F" w:rsidRPr="007546A4" w:rsidRDefault="008B726F" w:rsidP="008B726F">
            <w:pPr>
              <w:spacing w:line="276" w:lineRule="auto"/>
              <w:jc w:val="center"/>
            </w:pPr>
            <w:r w:rsidRPr="002C60FB">
              <w:t>17</w:t>
            </w:r>
          </w:p>
        </w:tc>
        <w:tc>
          <w:tcPr>
            <w:tcW w:w="2130" w:type="dxa"/>
            <w:noWrap/>
            <w:hideMark/>
          </w:tcPr>
          <w:p w14:paraId="4A09CCDF" w14:textId="5435D98F" w:rsidR="008B726F" w:rsidRPr="007546A4" w:rsidRDefault="008B726F" w:rsidP="008B726F">
            <w:pPr>
              <w:spacing w:line="276" w:lineRule="auto"/>
              <w:jc w:val="right"/>
            </w:pPr>
            <w:r w:rsidRPr="00C333FF">
              <w:t xml:space="preserve"> $25,421,993 </w:t>
            </w:r>
          </w:p>
        </w:tc>
      </w:tr>
      <w:tr w:rsidR="008B726F" w:rsidRPr="007546A4" w14:paraId="1625A05D" w14:textId="77777777" w:rsidTr="434F1DCE">
        <w:trPr>
          <w:trHeight w:val="195"/>
        </w:trPr>
        <w:tc>
          <w:tcPr>
            <w:tcW w:w="1110" w:type="dxa"/>
            <w:noWrap/>
            <w:hideMark/>
          </w:tcPr>
          <w:p w14:paraId="68E30E11" w14:textId="48809B2A" w:rsidR="008B726F" w:rsidRPr="007546A4" w:rsidRDefault="008B726F" w:rsidP="008B726F">
            <w:pPr>
              <w:spacing w:line="276" w:lineRule="auto"/>
            </w:pPr>
            <w:r w:rsidRPr="00FB292D">
              <w:t>2020</w:t>
            </w:r>
          </w:p>
        </w:tc>
        <w:tc>
          <w:tcPr>
            <w:tcW w:w="1140" w:type="dxa"/>
            <w:noWrap/>
            <w:hideMark/>
          </w:tcPr>
          <w:p w14:paraId="699F86A7" w14:textId="4F333A80" w:rsidR="008B726F" w:rsidRPr="007546A4" w:rsidRDefault="008B726F" w:rsidP="008B726F">
            <w:pPr>
              <w:spacing w:line="276" w:lineRule="auto"/>
              <w:jc w:val="center"/>
            </w:pPr>
            <w:r w:rsidRPr="00FB292D">
              <w:t>45</w:t>
            </w:r>
          </w:p>
        </w:tc>
        <w:tc>
          <w:tcPr>
            <w:tcW w:w="1890" w:type="dxa"/>
            <w:noWrap/>
            <w:hideMark/>
          </w:tcPr>
          <w:p w14:paraId="27FDA4C3" w14:textId="0DC0BE83" w:rsidR="008B726F" w:rsidRPr="007546A4" w:rsidRDefault="008B726F" w:rsidP="008B726F">
            <w:pPr>
              <w:spacing w:line="276" w:lineRule="auto"/>
              <w:jc w:val="right"/>
            </w:pPr>
            <w:r w:rsidRPr="00C333FF">
              <w:t xml:space="preserve">$199,738,738 </w:t>
            </w:r>
          </w:p>
        </w:tc>
        <w:tc>
          <w:tcPr>
            <w:tcW w:w="1440" w:type="dxa"/>
            <w:noWrap/>
            <w:hideMark/>
          </w:tcPr>
          <w:p w14:paraId="48A69C7D" w14:textId="2751C231" w:rsidR="008B726F" w:rsidRPr="007546A4" w:rsidRDefault="008B726F" w:rsidP="008B726F">
            <w:pPr>
              <w:spacing w:line="276" w:lineRule="auto"/>
              <w:jc w:val="center"/>
            </w:pPr>
            <w:r w:rsidRPr="002C60FB">
              <w:t>9</w:t>
            </w:r>
          </w:p>
        </w:tc>
        <w:tc>
          <w:tcPr>
            <w:tcW w:w="2130" w:type="dxa"/>
            <w:noWrap/>
            <w:hideMark/>
          </w:tcPr>
          <w:p w14:paraId="3ACE4479" w14:textId="325E3B23" w:rsidR="008B726F" w:rsidRPr="007546A4" w:rsidRDefault="008B726F" w:rsidP="008B726F">
            <w:pPr>
              <w:spacing w:line="276" w:lineRule="auto"/>
              <w:jc w:val="right"/>
            </w:pPr>
            <w:r w:rsidRPr="00C333FF">
              <w:t xml:space="preserve"> $9,423,921 </w:t>
            </w:r>
          </w:p>
        </w:tc>
      </w:tr>
      <w:tr w:rsidR="008B726F" w:rsidRPr="007546A4" w14:paraId="2B2D2722" w14:textId="77777777" w:rsidTr="434F1DCE">
        <w:trPr>
          <w:trHeight w:val="195"/>
        </w:trPr>
        <w:tc>
          <w:tcPr>
            <w:tcW w:w="1110" w:type="dxa"/>
            <w:noWrap/>
            <w:hideMark/>
          </w:tcPr>
          <w:p w14:paraId="3C85D16C" w14:textId="56841BAA" w:rsidR="008B726F" w:rsidRPr="007546A4" w:rsidRDefault="008B726F" w:rsidP="008B726F">
            <w:pPr>
              <w:spacing w:line="276" w:lineRule="auto"/>
            </w:pPr>
            <w:r w:rsidRPr="00FB292D">
              <w:t>2021</w:t>
            </w:r>
          </w:p>
        </w:tc>
        <w:tc>
          <w:tcPr>
            <w:tcW w:w="1140" w:type="dxa"/>
            <w:noWrap/>
            <w:hideMark/>
          </w:tcPr>
          <w:p w14:paraId="74BFFA91" w14:textId="77F3DBB2" w:rsidR="008B726F" w:rsidRPr="007546A4" w:rsidRDefault="008B726F" w:rsidP="008B726F">
            <w:pPr>
              <w:spacing w:line="276" w:lineRule="auto"/>
              <w:jc w:val="center"/>
            </w:pPr>
            <w:r>
              <w:t>56</w:t>
            </w:r>
          </w:p>
        </w:tc>
        <w:tc>
          <w:tcPr>
            <w:tcW w:w="1890" w:type="dxa"/>
            <w:noWrap/>
            <w:hideMark/>
          </w:tcPr>
          <w:p w14:paraId="03FC80D2" w14:textId="3B13D0EC" w:rsidR="008B726F" w:rsidRPr="007546A4" w:rsidRDefault="008B726F" w:rsidP="008B726F">
            <w:pPr>
              <w:spacing w:line="276" w:lineRule="auto"/>
              <w:jc w:val="right"/>
            </w:pPr>
            <w:r w:rsidRPr="00C333FF">
              <w:t xml:space="preserve">$107,729,241 </w:t>
            </w:r>
          </w:p>
        </w:tc>
        <w:tc>
          <w:tcPr>
            <w:tcW w:w="1440" w:type="dxa"/>
            <w:noWrap/>
            <w:hideMark/>
          </w:tcPr>
          <w:p w14:paraId="08E69A63" w14:textId="6563FB57" w:rsidR="008B726F" w:rsidRPr="007546A4" w:rsidRDefault="008B726F" w:rsidP="008B726F">
            <w:pPr>
              <w:spacing w:line="276" w:lineRule="auto"/>
              <w:jc w:val="center"/>
            </w:pPr>
            <w:r w:rsidRPr="002C60FB">
              <w:t>22</w:t>
            </w:r>
          </w:p>
        </w:tc>
        <w:tc>
          <w:tcPr>
            <w:tcW w:w="2130" w:type="dxa"/>
            <w:noWrap/>
            <w:hideMark/>
          </w:tcPr>
          <w:p w14:paraId="11BD6DE2" w14:textId="13B69772" w:rsidR="008B726F" w:rsidRPr="007546A4" w:rsidRDefault="008B726F" w:rsidP="008B726F">
            <w:pPr>
              <w:spacing w:line="276" w:lineRule="auto"/>
              <w:jc w:val="right"/>
            </w:pPr>
            <w:r w:rsidRPr="00C333FF">
              <w:t xml:space="preserve">$26,386,790 </w:t>
            </w:r>
          </w:p>
        </w:tc>
      </w:tr>
      <w:tr w:rsidR="008B726F" w:rsidRPr="007546A4" w14:paraId="7890A3AF" w14:textId="77777777" w:rsidTr="434F1DCE">
        <w:trPr>
          <w:trHeight w:val="236"/>
        </w:trPr>
        <w:tc>
          <w:tcPr>
            <w:tcW w:w="1110" w:type="dxa"/>
            <w:noWrap/>
            <w:hideMark/>
          </w:tcPr>
          <w:p w14:paraId="7E430762" w14:textId="53CC72BE" w:rsidR="008B726F" w:rsidRPr="007546A4" w:rsidRDefault="008B726F" w:rsidP="008B726F">
            <w:pPr>
              <w:spacing w:line="276" w:lineRule="auto"/>
              <w:rPr>
                <w:b/>
                <w:bCs/>
              </w:rPr>
            </w:pPr>
            <w:r w:rsidRPr="00FB292D">
              <w:t>2022</w:t>
            </w:r>
          </w:p>
        </w:tc>
        <w:tc>
          <w:tcPr>
            <w:tcW w:w="1140" w:type="dxa"/>
            <w:noWrap/>
            <w:hideMark/>
          </w:tcPr>
          <w:p w14:paraId="6C7F381B" w14:textId="4D13BDF9" w:rsidR="008B726F" w:rsidRPr="00B275DD" w:rsidRDefault="008B726F" w:rsidP="008B726F">
            <w:pPr>
              <w:spacing w:line="276" w:lineRule="auto"/>
              <w:jc w:val="center"/>
            </w:pPr>
            <w:r w:rsidRPr="00B275DD">
              <w:t>6</w:t>
            </w:r>
          </w:p>
        </w:tc>
        <w:tc>
          <w:tcPr>
            <w:tcW w:w="1890" w:type="dxa"/>
            <w:noWrap/>
            <w:hideMark/>
          </w:tcPr>
          <w:p w14:paraId="6798473D" w14:textId="5A5682C4" w:rsidR="008B726F" w:rsidRPr="007546A4" w:rsidRDefault="008B726F" w:rsidP="008B726F">
            <w:pPr>
              <w:spacing w:line="276" w:lineRule="auto"/>
              <w:jc w:val="right"/>
              <w:rPr>
                <w:b/>
                <w:bCs/>
              </w:rPr>
            </w:pPr>
            <w:r w:rsidRPr="00C333FF">
              <w:t xml:space="preserve"> $5,761,841 </w:t>
            </w:r>
          </w:p>
        </w:tc>
        <w:tc>
          <w:tcPr>
            <w:tcW w:w="1440" w:type="dxa"/>
            <w:noWrap/>
            <w:hideMark/>
          </w:tcPr>
          <w:p w14:paraId="57F1CA7F" w14:textId="396AF5B1" w:rsidR="008B726F" w:rsidRPr="00CD2EC2" w:rsidRDefault="008B726F" w:rsidP="008B726F">
            <w:pPr>
              <w:spacing w:line="276" w:lineRule="auto"/>
              <w:jc w:val="center"/>
            </w:pPr>
            <w:r>
              <w:t>0</w:t>
            </w:r>
          </w:p>
        </w:tc>
        <w:tc>
          <w:tcPr>
            <w:tcW w:w="2130" w:type="dxa"/>
            <w:noWrap/>
            <w:hideMark/>
          </w:tcPr>
          <w:p w14:paraId="71F25415" w14:textId="17EE7CC5" w:rsidR="008B726F" w:rsidRPr="007546A4" w:rsidRDefault="008B726F" w:rsidP="008B726F">
            <w:pPr>
              <w:spacing w:line="276" w:lineRule="auto"/>
              <w:jc w:val="right"/>
              <w:rPr>
                <w:b/>
                <w:bCs/>
              </w:rPr>
            </w:pPr>
            <w:r w:rsidRPr="00C333FF">
              <w:t xml:space="preserve"> $</w:t>
            </w:r>
            <w:r>
              <w:t>0</w:t>
            </w:r>
            <w:r w:rsidRPr="00C333FF">
              <w:t xml:space="preserve">  </w:t>
            </w:r>
          </w:p>
        </w:tc>
      </w:tr>
      <w:tr w:rsidR="008B726F" w:rsidRPr="007546A4" w14:paraId="0C77A539" w14:textId="77777777" w:rsidTr="434F1DCE">
        <w:trPr>
          <w:trHeight w:val="236"/>
        </w:trPr>
        <w:tc>
          <w:tcPr>
            <w:tcW w:w="1110" w:type="dxa"/>
            <w:noWrap/>
          </w:tcPr>
          <w:p w14:paraId="43971875" w14:textId="777B2691" w:rsidR="008B726F" w:rsidRPr="00DF2AC0" w:rsidRDefault="008B726F" w:rsidP="008B726F">
            <w:pPr>
              <w:spacing w:line="276" w:lineRule="auto"/>
              <w:rPr>
                <w:b/>
                <w:bCs/>
              </w:rPr>
            </w:pPr>
            <w:r w:rsidRPr="00DF2AC0">
              <w:rPr>
                <w:b/>
                <w:bCs/>
              </w:rPr>
              <w:t>Total</w:t>
            </w:r>
          </w:p>
        </w:tc>
        <w:tc>
          <w:tcPr>
            <w:tcW w:w="1140" w:type="dxa"/>
            <w:noWrap/>
          </w:tcPr>
          <w:p w14:paraId="169228CF" w14:textId="15077D4E" w:rsidR="008B726F" w:rsidRPr="00DF2AC0" w:rsidRDefault="008B726F" w:rsidP="008B726F">
            <w:pPr>
              <w:spacing w:line="276" w:lineRule="auto"/>
              <w:jc w:val="center"/>
              <w:rPr>
                <w:b/>
                <w:bCs/>
              </w:rPr>
            </w:pPr>
            <w:r w:rsidRPr="00DF2AC0">
              <w:rPr>
                <w:b/>
                <w:bCs/>
              </w:rPr>
              <w:t>1</w:t>
            </w:r>
            <w:r>
              <w:rPr>
                <w:b/>
                <w:bCs/>
              </w:rPr>
              <w:t>74</w:t>
            </w:r>
          </w:p>
        </w:tc>
        <w:tc>
          <w:tcPr>
            <w:tcW w:w="1890" w:type="dxa"/>
            <w:noWrap/>
          </w:tcPr>
          <w:p w14:paraId="00343AAF" w14:textId="5FD2C53E" w:rsidR="008B726F" w:rsidRPr="00DF2AC0" w:rsidRDefault="008B726F" w:rsidP="008B726F">
            <w:pPr>
              <w:spacing w:line="276" w:lineRule="auto"/>
              <w:jc w:val="right"/>
              <w:rPr>
                <w:b/>
                <w:bCs/>
              </w:rPr>
            </w:pPr>
            <w:r w:rsidRPr="00DF2AC0">
              <w:rPr>
                <w:b/>
                <w:bCs/>
              </w:rPr>
              <w:t xml:space="preserve">$466,453,157 </w:t>
            </w:r>
          </w:p>
        </w:tc>
        <w:tc>
          <w:tcPr>
            <w:tcW w:w="1440" w:type="dxa"/>
            <w:noWrap/>
          </w:tcPr>
          <w:p w14:paraId="6EBC08DD" w14:textId="07CC0866" w:rsidR="008B726F" w:rsidRPr="008B726F" w:rsidRDefault="008B726F" w:rsidP="008B726F">
            <w:pPr>
              <w:spacing w:line="276" w:lineRule="auto"/>
              <w:jc w:val="center"/>
              <w:rPr>
                <w:b/>
                <w:bCs/>
              </w:rPr>
            </w:pPr>
            <w:r w:rsidRPr="008B726F">
              <w:rPr>
                <w:b/>
                <w:bCs/>
              </w:rPr>
              <w:t>78</w:t>
            </w:r>
          </w:p>
        </w:tc>
        <w:tc>
          <w:tcPr>
            <w:tcW w:w="2130" w:type="dxa"/>
            <w:noWrap/>
          </w:tcPr>
          <w:p w14:paraId="3EACF674" w14:textId="6997EA61" w:rsidR="008B726F" w:rsidRPr="00DF2AC0" w:rsidRDefault="008B726F" w:rsidP="008B726F">
            <w:pPr>
              <w:spacing w:line="276" w:lineRule="auto"/>
              <w:jc w:val="right"/>
              <w:rPr>
                <w:b/>
                <w:bCs/>
              </w:rPr>
            </w:pPr>
            <w:r w:rsidRPr="00DF2AC0">
              <w:rPr>
                <w:b/>
                <w:bCs/>
              </w:rPr>
              <w:t xml:space="preserve"> $114,241,402 </w:t>
            </w:r>
          </w:p>
        </w:tc>
      </w:tr>
    </w:tbl>
    <w:p w14:paraId="5FE46CBB" w14:textId="77777777" w:rsidR="007546A4" w:rsidRPr="007546A4" w:rsidRDefault="007546A4" w:rsidP="5647B939">
      <w:pPr>
        <w:spacing w:line="276" w:lineRule="auto"/>
      </w:pPr>
    </w:p>
    <w:p w14:paraId="592C1B06" w14:textId="77777777" w:rsidR="00BD5DE5" w:rsidRDefault="00A60C60" w:rsidP="5647B939">
      <w:pPr>
        <w:pStyle w:val="Heading2"/>
        <w:spacing w:line="276" w:lineRule="auto"/>
        <w:rPr>
          <w:sz w:val="32"/>
          <w:szCs w:val="32"/>
        </w:rPr>
      </w:pPr>
      <w:r w:rsidRPr="5647B939">
        <w:rPr>
          <w:sz w:val="32"/>
          <w:szCs w:val="32"/>
        </w:rPr>
        <w:lastRenderedPageBreak/>
        <w:t>SBE Utilization</w:t>
      </w:r>
    </w:p>
    <w:p w14:paraId="0C158DE6" w14:textId="15C15B2E" w:rsidR="00085525" w:rsidRDefault="002E0939" w:rsidP="5647B939">
      <w:pPr>
        <w:spacing w:line="276" w:lineRule="auto"/>
      </w:pPr>
      <w:proofErr w:type="gramStart"/>
      <w:r>
        <w:t>A majority of</w:t>
      </w:r>
      <w:proofErr w:type="gramEnd"/>
      <w:r>
        <w:t xml:space="preserve"> </w:t>
      </w:r>
      <w:r w:rsidR="00085525">
        <w:t>City projects have met or exceeded SBE targets at the individual project-level</w:t>
      </w:r>
      <w:r>
        <w:t>, while the overall</w:t>
      </w:r>
      <w:r w:rsidR="00085525">
        <w:t xml:space="preserve"> </w:t>
      </w:r>
      <w:r w:rsidR="00F51ACF">
        <w:t>utilization continues to far exceed the 10 percent target</w:t>
      </w:r>
      <w:r w:rsidR="00085525">
        <w:t>. Each section below summarizes SBE utilization data based on different criteria.</w:t>
      </w:r>
    </w:p>
    <w:p w14:paraId="31F1666E" w14:textId="77777777" w:rsidR="00085525" w:rsidRPr="00085525" w:rsidRDefault="00085525" w:rsidP="5647B939">
      <w:pPr>
        <w:spacing w:line="276" w:lineRule="auto"/>
      </w:pPr>
    </w:p>
    <w:p w14:paraId="14F35471" w14:textId="77777777" w:rsidR="00A60C60" w:rsidRDefault="00A60C60" w:rsidP="5647B939">
      <w:pPr>
        <w:pStyle w:val="Heading2"/>
        <w:spacing w:line="276" w:lineRule="auto"/>
      </w:pPr>
      <w:r>
        <w:t>SBE Utilization</w:t>
      </w:r>
      <w:r w:rsidR="00085525">
        <w:t xml:space="preserve"> by Project </w:t>
      </w:r>
    </w:p>
    <w:p w14:paraId="55FB3BA8" w14:textId="77777777" w:rsidR="004932A3" w:rsidRDefault="004932A3" w:rsidP="5647B939">
      <w:pPr>
        <w:spacing w:line="276" w:lineRule="auto"/>
      </w:pPr>
    </w:p>
    <w:p w14:paraId="222C763F" w14:textId="2299BA29" w:rsidR="00084DCA" w:rsidRDefault="009E3027" w:rsidP="5647B939">
      <w:pPr>
        <w:spacing w:line="276" w:lineRule="auto"/>
      </w:pPr>
      <w:r>
        <w:t xml:space="preserve">Of the </w:t>
      </w:r>
      <w:r w:rsidR="007946EA">
        <w:t>85</w:t>
      </w:r>
      <w:r>
        <w:t xml:space="preserve"> completed projects, </w:t>
      </w:r>
      <w:r w:rsidR="006E5070">
        <w:t>5</w:t>
      </w:r>
      <w:r w:rsidR="00D30D1A">
        <w:t>4</w:t>
      </w:r>
      <w:r>
        <w:t xml:space="preserve"> (</w:t>
      </w:r>
      <w:r w:rsidR="00EA08A5">
        <w:t>63.</w:t>
      </w:r>
      <w:r w:rsidR="00D30D1A">
        <w:t>5</w:t>
      </w:r>
      <w:r>
        <w:t xml:space="preserve"> percent) met the established SBE target for the project. The number of projects meeting targets represented a majority in </w:t>
      </w:r>
      <w:r w:rsidR="006A2322">
        <w:t>all four years</w:t>
      </w:r>
      <w:r>
        <w:t>.</w:t>
      </w:r>
      <w:r w:rsidR="002C252F">
        <w:t xml:space="preserve"> </w:t>
      </w:r>
      <w:r>
        <w:t>Table 2 below summarizes the number of projects meeting SBE goals by year. Appendix A shows detailed expenses by project including SBE utilization.</w:t>
      </w:r>
    </w:p>
    <w:p w14:paraId="1EC11D0A" w14:textId="77777777" w:rsidR="003C5DFA" w:rsidRPr="00084DCA" w:rsidRDefault="003C5DFA" w:rsidP="5647B939">
      <w:pPr>
        <w:spacing w:line="276" w:lineRule="auto"/>
      </w:pPr>
    </w:p>
    <w:p w14:paraId="7183CD6A" w14:textId="77777777" w:rsidR="00A60C60" w:rsidRDefault="009F202B" w:rsidP="5647B939">
      <w:pPr>
        <w:spacing w:line="276" w:lineRule="auto"/>
        <w:rPr>
          <w:i/>
          <w:iCs/>
        </w:rPr>
      </w:pPr>
      <w:r w:rsidRPr="5647B939">
        <w:rPr>
          <w:i/>
          <w:iCs/>
        </w:rPr>
        <w:t>Table 2. Projects Meeting SBE Target by Year</w:t>
      </w:r>
    </w:p>
    <w:tbl>
      <w:tblPr>
        <w:tblStyle w:val="TableGrid"/>
        <w:tblW w:w="6089" w:type="dxa"/>
        <w:tblLook w:val="04A0" w:firstRow="1" w:lastRow="0" w:firstColumn="1" w:lastColumn="0" w:noHBand="0" w:noVBand="1"/>
      </w:tblPr>
      <w:tblGrid>
        <w:gridCol w:w="1710"/>
        <w:gridCol w:w="956"/>
        <w:gridCol w:w="855"/>
        <w:gridCol w:w="796"/>
        <w:gridCol w:w="886"/>
        <w:gridCol w:w="886"/>
      </w:tblGrid>
      <w:tr w:rsidR="00214660" w:rsidRPr="0062405D" w14:paraId="6B6D6207" w14:textId="77777777" w:rsidTr="00214660">
        <w:trPr>
          <w:trHeight w:val="300"/>
        </w:trPr>
        <w:tc>
          <w:tcPr>
            <w:tcW w:w="1710" w:type="dxa"/>
            <w:shd w:val="clear" w:color="auto" w:fill="4F6DA9" w:themeFill="accent1"/>
            <w:noWrap/>
            <w:hideMark/>
          </w:tcPr>
          <w:p w14:paraId="686C51F8" w14:textId="77777777" w:rsidR="00214660" w:rsidRPr="00244D1D" w:rsidRDefault="00214660" w:rsidP="5647B939">
            <w:pPr>
              <w:spacing w:line="276" w:lineRule="auto"/>
              <w:rPr>
                <w:b/>
                <w:bCs/>
                <w:color w:val="FFFFFF" w:themeColor="background1"/>
              </w:rPr>
            </w:pPr>
            <w:r w:rsidRPr="5647B939">
              <w:rPr>
                <w:b/>
                <w:bCs/>
                <w:color w:val="FFFFFF" w:themeColor="background1"/>
              </w:rPr>
              <w:t>SBE Goal</w:t>
            </w:r>
          </w:p>
        </w:tc>
        <w:tc>
          <w:tcPr>
            <w:tcW w:w="956" w:type="dxa"/>
            <w:shd w:val="clear" w:color="auto" w:fill="4F6DA9" w:themeFill="accent1"/>
            <w:noWrap/>
            <w:hideMark/>
          </w:tcPr>
          <w:p w14:paraId="1E9177AE" w14:textId="77777777" w:rsidR="00214660" w:rsidRPr="00244D1D" w:rsidRDefault="00214660" w:rsidP="5647B939">
            <w:pPr>
              <w:spacing w:line="276" w:lineRule="auto"/>
              <w:rPr>
                <w:b/>
                <w:bCs/>
                <w:color w:val="FFFFFF" w:themeColor="background1"/>
              </w:rPr>
            </w:pPr>
            <w:r w:rsidRPr="5647B939">
              <w:rPr>
                <w:b/>
                <w:bCs/>
                <w:color w:val="FFFFFF" w:themeColor="background1"/>
              </w:rPr>
              <w:t>2018</w:t>
            </w:r>
          </w:p>
        </w:tc>
        <w:tc>
          <w:tcPr>
            <w:tcW w:w="855" w:type="dxa"/>
            <w:shd w:val="clear" w:color="auto" w:fill="4F6DA9" w:themeFill="accent1"/>
            <w:noWrap/>
            <w:hideMark/>
          </w:tcPr>
          <w:p w14:paraId="4DA906DB" w14:textId="77777777" w:rsidR="00214660" w:rsidRPr="00244D1D" w:rsidRDefault="00214660" w:rsidP="5647B939">
            <w:pPr>
              <w:spacing w:line="276" w:lineRule="auto"/>
              <w:rPr>
                <w:b/>
                <w:bCs/>
                <w:color w:val="FFFFFF" w:themeColor="background1"/>
              </w:rPr>
            </w:pPr>
            <w:r w:rsidRPr="5647B939">
              <w:rPr>
                <w:b/>
                <w:bCs/>
                <w:color w:val="FFFFFF" w:themeColor="background1"/>
              </w:rPr>
              <w:t>2019</w:t>
            </w:r>
          </w:p>
        </w:tc>
        <w:tc>
          <w:tcPr>
            <w:tcW w:w="796" w:type="dxa"/>
            <w:shd w:val="clear" w:color="auto" w:fill="4F6DA9" w:themeFill="accent1"/>
            <w:noWrap/>
            <w:hideMark/>
          </w:tcPr>
          <w:p w14:paraId="6878E5AF" w14:textId="77777777" w:rsidR="00214660" w:rsidRPr="00244D1D" w:rsidRDefault="00214660" w:rsidP="5647B939">
            <w:pPr>
              <w:spacing w:line="276" w:lineRule="auto"/>
              <w:rPr>
                <w:b/>
                <w:bCs/>
                <w:color w:val="FFFFFF" w:themeColor="background1"/>
              </w:rPr>
            </w:pPr>
            <w:r w:rsidRPr="5647B939">
              <w:rPr>
                <w:b/>
                <w:bCs/>
                <w:color w:val="FFFFFF" w:themeColor="background1"/>
              </w:rPr>
              <w:t>2020</w:t>
            </w:r>
          </w:p>
        </w:tc>
        <w:tc>
          <w:tcPr>
            <w:tcW w:w="886" w:type="dxa"/>
            <w:shd w:val="clear" w:color="auto" w:fill="4F6DA9" w:themeFill="accent1"/>
          </w:tcPr>
          <w:p w14:paraId="7E8A5D74" w14:textId="1A712C01" w:rsidR="00214660" w:rsidRPr="5647B939" w:rsidRDefault="00214660" w:rsidP="5647B939">
            <w:pPr>
              <w:spacing w:line="276" w:lineRule="auto"/>
              <w:rPr>
                <w:b/>
                <w:bCs/>
                <w:color w:val="FFFFFF" w:themeColor="background1"/>
              </w:rPr>
            </w:pPr>
            <w:r>
              <w:rPr>
                <w:b/>
                <w:bCs/>
                <w:color w:val="FFFFFF" w:themeColor="background1"/>
              </w:rPr>
              <w:t>2021</w:t>
            </w:r>
          </w:p>
        </w:tc>
        <w:tc>
          <w:tcPr>
            <w:tcW w:w="886" w:type="dxa"/>
            <w:shd w:val="clear" w:color="auto" w:fill="4F6DA9" w:themeFill="accent1"/>
            <w:noWrap/>
            <w:hideMark/>
          </w:tcPr>
          <w:p w14:paraId="01105A85" w14:textId="76B7A6E4" w:rsidR="00214660" w:rsidRPr="00244D1D" w:rsidRDefault="00214660" w:rsidP="5647B939">
            <w:pPr>
              <w:spacing w:line="276" w:lineRule="auto"/>
              <w:rPr>
                <w:b/>
                <w:bCs/>
                <w:color w:val="FFFFFF" w:themeColor="background1"/>
              </w:rPr>
            </w:pPr>
            <w:r w:rsidRPr="5647B939">
              <w:rPr>
                <w:b/>
                <w:bCs/>
                <w:color w:val="FFFFFF" w:themeColor="background1"/>
              </w:rPr>
              <w:t>Total</w:t>
            </w:r>
          </w:p>
        </w:tc>
      </w:tr>
      <w:tr w:rsidR="00214660" w:rsidRPr="0062405D" w14:paraId="20345365" w14:textId="77777777" w:rsidTr="00214660">
        <w:trPr>
          <w:trHeight w:val="290"/>
        </w:trPr>
        <w:tc>
          <w:tcPr>
            <w:tcW w:w="1710" w:type="dxa"/>
            <w:noWrap/>
            <w:hideMark/>
          </w:tcPr>
          <w:p w14:paraId="5E568BD8" w14:textId="77777777" w:rsidR="00214660" w:rsidRPr="0062405D" w:rsidRDefault="00214660" w:rsidP="5647B939">
            <w:pPr>
              <w:spacing w:line="276" w:lineRule="auto"/>
            </w:pPr>
            <w:r>
              <w:t>Met Target</w:t>
            </w:r>
          </w:p>
        </w:tc>
        <w:tc>
          <w:tcPr>
            <w:tcW w:w="956" w:type="dxa"/>
            <w:noWrap/>
            <w:hideMark/>
          </w:tcPr>
          <w:p w14:paraId="393FD907" w14:textId="3E727E53" w:rsidR="00214660" w:rsidRPr="0062405D" w:rsidRDefault="00214660" w:rsidP="434F1DCE">
            <w:pPr>
              <w:spacing w:line="276" w:lineRule="auto"/>
              <w:jc w:val="center"/>
            </w:pPr>
            <w:r>
              <w:t>20</w:t>
            </w:r>
          </w:p>
        </w:tc>
        <w:tc>
          <w:tcPr>
            <w:tcW w:w="855" w:type="dxa"/>
            <w:noWrap/>
            <w:hideMark/>
          </w:tcPr>
          <w:p w14:paraId="6175A92C" w14:textId="08B03FFC" w:rsidR="00214660" w:rsidRPr="0062405D" w:rsidRDefault="00214660" w:rsidP="434F1DCE">
            <w:pPr>
              <w:spacing w:line="276" w:lineRule="auto"/>
              <w:jc w:val="center"/>
            </w:pPr>
            <w:r>
              <w:t>1</w:t>
            </w:r>
            <w:r w:rsidR="007946EA">
              <w:t>4</w:t>
            </w:r>
          </w:p>
        </w:tc>
        <w:tc>
          <w:tcPr>
            <w:tcW w:w="796" w:type="dxa"/>
            <w:noWrap/>
            <w:hideMark/>
          </w:tcPr>
          <w:p w14:paraId="79E7EFB2" w14:textId="6A61DBD3" w:rsidR="00214660" w:rsidRPr="0062405D" w:rsidRDefault="007946EA" w:rsidP="434F1DCE">
            <w:pPr>
              <w:spacing w:line="276" w:lineRule="auto"/>
              <w:jc w:val="center"/>
            </w:pPr>
            <w:r>
              <w:t>6</w:t>
            </w:r>
          </w:p>
        </w:tc>
        <w:tc>
          <w:tcPr>
            <w:tcW w:w="886" w:type="dxa"/>
          </w:tcPr>
          <w:p w14:paraId="50EE9F06" w14:textId="43E80167" w:rsidR="00214660" w:rsidRDefault="00214660" w:rsidP="434F1DCE">
            <w:pPr>
              <w:spacing w:line="276" w:lineRule="auto"/>
              <w:jc w:val="center"/>
            </w:pPr>
            <w:r>
              <w:t>1</w:t>
            </w:r>
            <w:r w:rsidR="007946EA">
              <w:t>4</w:t>
            </w:r>
          </w:p>
        </w:tc>
        <w:tc>
          <w:tcPr>
            <w:tcW w:w="886" w:type="dxa"/>
            <w:noWrap/>
            <w:hideMark/>
          </w:tcPr>
          <w:p w14:paraId="51E38363" w14:textId="01BCB0C5" w:rsidR="00214660" w:rsidRPr="0062405D" w:rsidRDefault="00C015E6" w:rsidP="434F1DCE">
            <w:pPr>
              <w:spacing w:line="276" w:lineRule="auto"/>
              <w:jc w:val="center"/>
            </w:pPr>
            <w:r>
              <w:t>5</w:t>
            </w:r>
            <w:r w:rsidR="007946EA">
              <w:t>4</w:t>
            </w:r>
          </w:p>
        </w:tc>
      </w:tr>
      <w:tr w:rsidR="008B726F" w:rsidRPr="0062405D" w14:paraId="011C4C30" w14:textId="77777777" w:rsidTr="00214660">
        <w:trPr>
          <w:trHeight w:val="290"/>
        </w:trPr>
        <w:tc>
          <w:tcPr>
            <w:tcW w:w="1710" w:type="dxa"/>
            <w:noWrap/>
            <w:hideMark/>
          </w:tcPr>
          <w:p w14:paraId="127008C9" w14:textId="77777777" w:rsidR="008B726F" w:rsidRPr="0062405D" w:rsidRDefault="008B726F" w:rsidP="008B726F">
            <w:pPr>
              <w:spacing w:line="276" w:lineRule="auto"/>
            </w:pPr>
            <w:r>
              <w:t>Did Not Meet</w:t>
            </w:r>
          </w:p>
        </w:tc>
        <w:tc>
          <w:tcPr>
            <w:tcW w:w="956" w:type="dxa"/>
            <w:noWrap/>
            <w:hideMark/>
          </w:tcPr>
          <w:p w14:paraId="6F0DB83F" w14:textId="4D50249C" w:rsidR="008B726F" w:rsidRPr="0062405D" w:rsidRDefault="008B726F" w:rsidP="008B726F">
            <w:pPr>
              <w:spacing w:line="276" w:lineRule="auto"/>
              <w:jc w:val="center"/>
            </w:pPr>
            <w:r w:rsidRPr="001F5EB9">
              <w:t>10</w:t>
            </w:r>
          </w:p>
        </w:tc>
        <w:tc>
          <w:tcPr>
            <w:tcW w:w="855" w:type="dxa"/>
            <w:noWrap/>
            <w:hideMark/>
          </w:tcPr>
          <w:p w14:paraId="7C622FAF" w14:textId="11717442" w:rsidR="008B726F" w:rsidRPr="0062405D" w:rsidRDefault="008B726F" w:rsidP="008B726F">
            <w:pPr>
              <w:spacing w:line="276" w:lineRule="auto"/>
              <w:jc w:val="center"/>
            </w:pPr>
            <w:r w:rsidRPr="001F5EB9">
              <w:t>3</w:t>
            </w:r>
          </w:p>
        </w:tc>
        <w:tc>
          <w:tcPr>
            <w:tcW w:w="796" w:type="dxa"/>
            <w:noWrap/>
            <w:hideMark/>
          </w:tcPr>
          <w:p w14:paraId="5DCC54DE" w14:textId="4E247AEC" w:rsidR="008B726F" w:rsidRPr="0062405D" w:rsidRDefault="008B726F" w:rsidP="008B726F">
            <w:pPr>
              <w:spacing w:line="276" w:lineRule="auto"/>
              <w:jc w:val="center"/>
            </w:pPr>
            <w:r w:rsidRPr="001F5EB9">
              <w:t>3</w:t>
            </w:r>
          </w:p>
        </w:tc>
        <w:tc>
          <w:tcPr>
            <w:tcW w:w="886" w:type="dxa"/>
          </w:tcPr>
          <w:p w14:paraId="329F0449" w14:textId="7507A13B" w:rsidR="008B726F" w:rsidRDefault="008B726F" w:rsidP="008B726F">
            <w:pPr>
              <w:spacing w:line="276" w:lineRule="auto"/>
              <w:jc w:val="center"/>
            </w:pPr>
            <w:r w:rsidRPr="001F5EB9">
              <w:t>8</w:t>
            </w:r>
          </w:p>
        </w:tc>
        <w:tc>
          <w:tcPr>
            <w:tcW w:w="886" w:type="dxa"/>
            <w:noWrap/>
            <w:hideMark/>
          </w:tcPr>
          <w:p w14:paraId="02E0B214" w14:textId="5409A0B0" w:rsidR="008B726F" w:rsidRPr="0062405D" w:rsidRDefault="008B726F" w:rsidP="008B726F">
            <w:pPr>
              <w:spacing w:line="276" w:lineRule="auto"/>
              <w:jc w:val="center"/>
            </w:pPr>
            <w:r w:rsidRPr="001F5EB9">
              <w:t>24</w:t>
            </w:r>
          </w:p>
        </w:tc>
      </w:tr>
      <w:tr w:rsidR="008B726F" w:rsidRPr="0062405D" w14:paraId="39FC8F6D" w14:textId="77777777" w:rsidTr="00214660">
        <w:trPr>
          <w:trHeight w:val="290"/>
        </w:trPr>
        <w:tc>
          <w:tcPr>
            <w:tcW w:w="1710" w:type="dxa"/>
            <w:noWrap/>
            <w:hideMark/>
          </w:tcPr>
          <w:p w14:paraId="35A37348" w14:textId="77777777" w:rsidR="008B726F" w:rsidRPr="008B726F" w:rsidRDefault="008B726F" w:rsidP="008B726F">
            <w:pPr>
              <w:spacing w:line="276" w:lineRule="auto"/>
              <w:rPr>
                <w:b/>
                <w:bCs/>
              </w:rPr>
            </w:pPr>
            <w:r w:rsidRPr="008B726F">
              <w:rPr>
                <w:b/>
                <w:bCs/>
              </w:rPr>
              <w:t>Total</w:t>
            </w:r>
          </w:p>
        </w:tc>
        <w:tc>
          <w:tcPr>
            <w:tcW w:w="956" w:type="dxa"/>
            <w:noWrap/>
            <w:hideMark/>
          </w:tcPr>
          <w:p w14:paraId="5A8A5136" w14:textId="243376C9" w:rsidR="008B726F" w:rsidRPr="008B726F" w:rsidRDefault="008B726F" w:rsidP="008B726F">
            <w:pPr>
              <w:spacing w:line="276" w:lineRule="auto"/>
              <w:jc w:val="center"/>
              <w:rPr>
                <w:b/>
                <w:bCs/>
              </w:rPr>
            </w:pPr>
            <w:r w:rsidRPr="008B726F">
              <w:rPr>
                <w:b/>
                <w:bCs/>
              </w:rPr>
              <w:t>30</w:t>
            </w:r>
          </w:p>
        </w:tc>
        <w:tc>
          <w:tcPr>
            <w:tcW w:w="855" w:type="dxa"/>
            <w:noWrap/>
            <w:hideMark/>
          </w:tcPr>
          <w:p w14:paraId="075A7D55" w14:textId="4BC12E64" w:rsidR="008B726F" w:rsidRPr="008B726F" w:rsidRDefault="008B726F" w:rsidP="008B726F">
            <w:pPr>
              <w:spacing w:line="276" w:lineRule="auto"/>
              <w:jc w:val="center"/>
              <w:rPr>
                <w:b/>
                <w:bCs/>
              </w:rPr>
            </w:pPr>
            <w:r w:rsidRPr="008B726F">
              <w:rPr>
                <w:b/>
                <w:bCs/>
              </w:rPr>
              <w:t>17</w:t>
            </w:r>
          </w:p>
        </w:tc>
        <w:tc>
          <w:tcPr>
            <w:tcW w:w="796" w:type="dxa"/>
            <w:noWrap/>
            <w:hideMark/>
          </w:tcPr>
          <w:p w14:paraId="3586CAE5" w14:textId="02D35112" w:rsidR="008B726F" w:rsidRPr="008B726F" w:rsidRDefault="008B726F" w:rsidP="008B726F">
            <w:pPr>
              <w:spacing w:line="276" w:lineRule="auto"/>
              <w:jc w:val="center"/>
              <w:rPr>
                <w:b/>
                <w:bCs/>
              </w:rPr>
            </w:pPr>
            <w:r w:rsidRPr="008B726F">
              <w:rPr>
                <w:b/>
                <w:bCs/>
              </w:rPr>
              <w:t>9</w:t>
            </w:r>
          </w:p>
        </w:tc>
        <w:tc>
          <w:tcPr>
            <w:tcW w:w="886" w:type="dxa"/>
          </w:tcPr>
          <w:p w14:paraId="013C6EDE" w14:textId="637E06BF" w:rsidR="008B726F" w:rsidRPr="008B726F" w:rsidRDefault="008B726F" w:rsidP="008B726F">
            <w:pPr>
              <w:spacing w:line="276" w:lineRule="auto"/>
              <w:jc w:val="center"/>
              <w:rPr>
                <w:b/>
                <w:bCs/>
              </w:rPr>
            </w:pPr>
            <w:r w:rsidRPr="008B726F">
              <w:rPr>
                <w:b/>
                <w:bCs/>
              </w:rPr>
              <w:t>22</w:t>
            </w:r>
          </w:p>
        </w:tc>
        <w:tc>
          <w:tcPr>
            <w:tcW w:w="886" w:type="dxa"/>
            <w:noWrap/>
            <w:hideMark/>
          </w:tcPr>
          <w:p w14:paraId="0F2282B2" w14:textId="444664B0" w:rsidR="008B726F" w:rsidRPr="008B726F" w:rsidRDefault="008B726F" w:rsidP="008B726F">
            <w:pPr>
              <w:spacing w:line="276" w:lineRule="auto"/>
              <w:jc w:val="center"/>
              <w:rPr>
                <w:b/>
                <w:bCs/>
              </w:rPr>
            </w:pPr>
            <w:r w:rsidRPr="008B726F">
              <w:rPr>
                <w:b/>
                <w:bCs/>
              </w:rPr>
              <w:t>78</w:t>
            </w:r>
          </w:p>
        </w:tc>
      </w:tr>
    </w:tbl>
    <w:p w14:paraId="29171B3F" w14:textId="77777777" w:rsidR="00BD5DE5" w:rsidRDefault="00BD5DE5" w:rsidP="434F1DCE">
      <w:pPr>
        <w:spacing w:line="276" w:lineRule="auto"/>
        <w:rPr>
          <w:rFonts w:eastAsia="Arial"/>
        </w:rPr>
      </w:pPr>
    </w:p>
    <w:p w14:paraId="767D00C6" w14:textId="77777777" w:rsidR="00BD5DE5" w:rsidRDefault="007778F8" w:rsidP="5647B939">
      <w:pPr>
        <w:pStyle w:val="Heading2"/>
        <w:spacing w:line="276" w:lineRule="auto"/>
      </w:pPr>
      <w:bookmarkStart w:id="0" w:name="_Hlk81991463"/>
      <w:r>
        <w:t>City-wide SBE Utilization</w:t>
      </w:r>
    </w:p>
    <w:p w14:paraId="3493914F" w14:textId="77777777" w:rsidR="00F65FAA" w:rsidRPr="00F65FAA" w:rsidRDefault="00F65FAA" w:rsidP="5647B939">
      <w:pPr>
        <w:spacing w:line="276" w:lineRule="auto"/>
      </w:pPr>
    </w:p>
    <w:bookmarkEnd w:id="0"/>
    <w:p w14:paraId="1C3A5466" w14:textId="64FC0D0C" w:rsidR="00941DF5" w:rsidRDefault="005B019D" w:rsidP="5647B939">
      <w:pPr>
        <w:spacing w:line="276" w:lineRule="auto"/>
      </w:pPr>
      <w:r>
        <w:t xml:space="preserve">Across </w:t>
      </w:r>
      <w:r w:rsidR="00223886">
        <w:t>most</w:t>
      </w:r>
      <w:r>
        <w:t xml:space="preserve"> completed projects, the </w:t>
      </w:r>
      <w:proofErr w:type="gramStart"/>
      <w:r>
        <w:t>City</w:t>
      </w:r>
      <w:proofErr w:type="gramEnd"/>
      <w:r>
        <w:t xml:space="preserve"> has exceeded both</w:t>
      </w:r>
      <w:r w:rsidR="005136AE">
        <w:t xml:space="preserve"> the 10 </w:t>
      </w:r>
      <w:r w:rsidR="00BD0256">
        <w:t>percent</w:t>
      </w:r>
      <w:r>
        <w:t xml:space="preserve"> target and projected SBE utilization. The total projected SBE amount of $</w:t>
      </w:r>
      <w:r w:rsidR="00223886">
        <w:t>1</w:t>
      </w:r>
      <w:r w:rsidR="00E07A6C">
        <w:t>8.8</w:t>
      </w:r>
      <w:r>
        <w:t xml:space="preserve"> million represented </w:t>
      </w:r>
      <w:r w:rsidR="00A917C9">
        <w:t>1</w:t>
      </w:r>
      <w:r w:rsidR="00E07A6C">
        <w:t>6</w:t>
      </w:r>
      <w:r>
        <w:t xml:space="preserve"> percent of the total projected bid amount of $</w:t>
      </w:r>
      <w:r w:rsidR="00797263">
        <w:t>1</w:t>
      </w:r>
      <w:r w:rsidR="00E07A6C">
        <w:t>14</w:t>
      </w:r>
      <w:r>
        <w:t xml:space="preserve"> million.</w:t>
      </w:r>
      <w:r w:rsidR="00ED7EA2">
        <w:t xml:space="preserve"> </w:t>
      </w:r>
      <w:r>
        <w:t>$</w:t>
      </w:r>
      <w:r w:rsidR="001C43C5">
        <w:t>1</w:t>
      </w:r>
      <w:r w:rsidR="009077F0">
        <w:t>5</w:t>
      </w:r>
      <w:r>
        <w:t xml:space="preserve"> million went to SBEs representing </w:t>
      </w:r>
      <w:r w:rsidR="009077F0">
        <w:t>1</w:t>
      </w:r>
      <w:r w:rsidR="00E07A6C">
        <w:t>6.2</w:t>
      </w:r>
      <w:r>
        <w:t xml:space="preserve"> percent of all actual project expenses. Table 3 below summarizes SBE Utilization Amounts by year.</w:t>
      </w:r>
    </w:p>
    <w:p w14:paraId="04C49896" w14:textId="77777777" w:rsidR="00FF07D4" w:rsidRDefault="00FF07D4" w:rsidP="5647B939">
      <w:pPr>
        <w:spacing w:line="276" w:lineRule="auto"/>
        <w:rPr>
          <w:i/>
          <w:iCs/>
        </w:rPr>
      </w:pPr>
    </w:p>
    <w:p w14:paraId="051E6992" w14:textId="77777777" w:rsidR="00084DCA" w:rsidRPr="00084DCA" w:rsidRDefault="426AB776" w:rsidP="63C4A438">
      <w:pPr>
        <w:spacing w:line="276" w:lineRule="auto"/>
        <w:rPr>
          <w:b/>
          <w:bCs/>
          <w:i/>
          <w:iCs/>
          <w:sz w:val="24"/>
          <w:szCs w:val="24"/>
        </w:rPr>
      </w:pPr>
      <w:r w:rsidRPr="63C4A438">
        <w:rPr>
          <w:i/>
          <w:iCs/>
        </w:rPr>
        <w:t>Table 3. SBE Expenses by Year</w:t>
      </w:r>
    </w:p>
    <w:tbl>
      <w:tblPr>
        <w:tblStyle w:val="GridTable4-Accent1"/>
        <w:tblW w:w="10070" w:type="dxa"/>
        <w:tblLook w:val="06E0" w:firstRow="1" w:lastRow="1" w:firstColumn="1" w:lastColumn="0" w:noHBand="1" w:noVBand="1"/>
      </w:tblPr>
      <w:tblGrid>
        <w:gridCol w:w="652"/>
        <w:gridCol w:w="971"/>
        <w:gridCol w:w="972"/>
        <w:gridCol w:w="1394"/>
        <w:gridCol w:w="1319"/>
        <w:gridCol w:w="1155"/>
        <w:gridCol w:w="1304"/>
        <w:gridCol w:w="1388"/>
        <w:gridCol w:w="915"/>
      </w:tblGrid>
      <w:tr w:rsidR="004755B0" w:rsidRPr="00F51ACF" w14:paraId="48D5E2C6" w14:textId="77777777" w:rsidTr="00F51AC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auto"/>
            <w:hideMark/>
          </w:tcPr>
          <w:p w14:paraId="7AC4A68E" w14:textId="77777777" w:rsidR="00A97C47" w:rsidRPr="00F51ACF" w:rsidRDefault="00A97C47" w:rsidP="00A97C47">
            <w:pPr>
              <w:spacing w:line="240" w:lineRule="auto"/>
              <w:jc w:val="center"/>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Years</w:t>
            </w:r>
          </w:p>
        </w:tc>
        <w:tc>
          <w:tcPr>
            <w:tcW w:w="0" w:type="auto"/>
            <w:hideMark/>
          </w:tcPr>
          <w:p w14:paraId="65368F58"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 xml:space="preserve"># </w:t>
            </w:r>
            <w:proofErr w:type="gramStart"/>
            <w:r w:rsidRPr="00F51ACF">
              <w:rPr>
                <w:rFonts w:asciiTheme="majorHAnsi" w:eastAsia="Times New Roman" w:hAnsiTheme="majorHAnsi" w:cstheme="majorHAnsi"/>
                <w:color w:val="FFFFFF"/>
                <w:sz w:val="16"/>
                <w:szCs w:val="16"/>
              </w:rPr>
              <w:t>of</w:t>
            </w:r>
            <w:proofErr w:type="gramEnd"/>
            <w:r w:rsidRPr="00F51ACF">
              <w:rPr>
                <w:rFonts w:asciiTheme="majorHAnsi" w:eastAsia="Times New Roman" w:hAnsiTheme="majorHAnsi" w:cstheme="majorHAnsi"/>
                <w:color w:val="FFFFFF"/>
                <w:sz w:val="16"/>
                <w:szCs w:val="16"/>
              </w:rPr>
              <w:t xml:space="preserve"> Projects</w:t>
            </w:r>
          </w:p>
        </w:tc>
        <w:tc>
          <w:tcPr>
            <w:tcW w:w="0" w:type="auto"/>
            <w:hideMark/>
          </w:tcPr>
          <w:p w14:paraId="79260340"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Avg SBE Goal %</w:t>
            </w:r>
          </w:p>
        </w:tc>
        <w:tc>
          <w:tcPr>
            <w:tcW w:w="0" w:type="auto"/>
            <w:hideMark/>
          </w:tcPr>
          <w:p w14:paraId="425797C0"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Total Projected Amt</w:t>
            </w:r>
          </w:p>
        </w:tc>
        <w:tc>
          <w:tcPr>
            <w:tcW w:w="0" w:type="auto"/>
            <w:hideMark/>
          </w:tcPr>
          <w:p w14:paraId="35657100"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Projected SBE Amt</w:t>
            </w:r>
          </w:p>
        </w:tc>
        <w:tc>
          <w:tcPr>
            <w:tcW w:w="0" w:type="auto"/>
            <w:hideMark/>
          </w:tcPr>
          <w:p w14:paraId="0FACD516"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Projected SBE %</w:t>
            </w:r>
          </w:p>
        </w:tc>
        <w:tc>
          <w:tcPr>
            <w:tcW w:w="0" w:type="auto"/>
            <w:hideMark/>
          </w:tcPr>
          <w:p w14:paraId="7477566D"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Total Actual Amt</w:t>
            </w:r>
          </w:p>
        </w:tc>
        <w:tc>
          <w:tcPr>
            <w:tcW w:w="0" w:type="auto"/>
            <w:hideMark/>
          </w:tcPr>
          <w:p w14:paraId="213B7E99"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Total Actual SBE Amt</w:t>
            </w:r>
          </w:p>
        </w:tc>
        <w:tc>
          <w:tcPr>
            <w:tcW w:w="0" w:type="auto"/>
            <w:hideMark/>
          </w:tcPr>
          <w:p w14:paraId="027475BF" w14:textId="77777777" w:rsidR="00A97C47" w:rsidRPr="00F51ACF" w:rsidRDefault="00A97C47" w:rsidP="00A97C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6"/>
                <w:szCs w:val="16"/>
              </w:rPr>
            </w:pPr>
            <w:r w:rsidRPr="00F51ACF">
              <w:rPr>
                <w:rFonts w:asciiTheme="majorHAnsi" w:eastAsia="Times New Roman" w:hAnsiTheme="majorHAnsi" w:cstheme="majorHAnsi"/>
                <w:color w:val="FFFFFF"/>
                <w:sz w:val="16"/>
                <w:szCs w:val="16"/>
              </w:rPr>
              <w:t>Actual SBE %</w:t>
            </w:r>
          </w:p>
        </w:tc>
      </w:tr>
      <w:tr w:rsidR="004755B0" w:rsidRPr="00F51ACF" w14:paraId="21253BF3" w14:textId="77777777" w:rsidTr="00F51ACF">
        <w:trPr>
          <w:trHeight w:val="244"/>
        </w:trPr>
        <w:tc>
          <w:tcPr>
            <w:cnfStyle w:val="001000000000" w:firstRow="0" w:lastRow="0" w:firstColumn="1" w:lastColumn="0" w:oddVBand="0" w:evenVBand="0" w:oddHBand="0" w:evenHBand="0" w:firstRowFirstColumn="0" w:firstRowLastColumn="0" w:lastRowFirstColumn="0" w:lastRowLastColumn="0"/>
            <w:tcW w:w="0" w:type="auto"/>
            <w:hideMark/>
          </w:tcPr>
          <w:p w14:paraId="50699D39" w14:textId="57B1F3FB" w:rsidR="004755B0" w:rsidRPr="00F51ACF" w:rsidRDefault="004755B0" w:rsidP="004755B0">
            <w:pPr>
              <w:spacing w:line="240" w:lineRule="auto"/>
              <w:rPr>
                <w:rFonts w:asciiTheme="majorHAnsi" w:eastAsia="Times New Roman" w:hAnsiTheme="majorHAnsi" w:cstheme="majorHAnsi"/>
                <w:color w:val="000000"/>
                <w:sz w:val="16"/>
                <w:szCs w:val="16"/>
              </w:rPr>
            </w:pPr>
            <w:r w:rsidRPr="00F51ACF">
              <w:rPr>
                <w:rFonts w:asciiTheme="majorHAnsi" w:hAnsiTheme="majorHAnsi" w:cstheme="majorHAnsi"/>
                <w:sz w:val="16"/>
                <w:szCs w:val="16"/>
              </w:rPr>
              <w:t>2018</w:t>
            </w:r>
          </w:p>
        </w:tc>
        <w:tc>
          <w:tcPr>
            <w:tcW w:w="0" w:type="auto"/>
            <w:hideMark/>
          </w:tcPr>
          <w:p w14:paraId="7EC175A3" w14:textId="77A05BE6"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30</w:t>
            </w:r>
          </w:p>
        </w:tc>
        <w:tc>
          <w:tcPr>
            <w:tcW w:w="0" w:type="auto"/>
            <w:hideMark/>
          </w:tcPr>
          <w:p w14:paraId="5ECAD790" w14:textId="3A3A2878"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7.6%</w:t>
            </w:r>
          </w:p>
        </w:tc>
        <w:tc>
          <w:tcPr>
            <w:tcW w:w="0" w:type="auto"/>
            <w:hideMark/>
          </w:tcPr>
          <w:p w14:paraId="26BC9824" w14:textId="0617F468"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rPr>
            </w:pPr>
            <w:r w:rsidRPr="004755B0">
              <w:rPr>
                <w:sz w:val="16"/>
                <w:szCs w:val="16"/>
              </w:rPr>
              <w:t xml:space="preserve"> $49,188,539 </w:t>
            </w:r>
          </w:p>
        </w:tc>
        <w:tc>
          <w:tcPr>
            <w:tcW w:w="0" w:type="auto"/>
            <w:hideMark/>
          </w:tcPr>
          <w:p w14:paraId="2C2554FA" w14:textId="2DA11212"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$4,809,843 </w:t>
            </w:r>
          </w:p>
        </w:tc>
        <w:tc>
          <w:tcPr>
            <w:tcW w:w="0" w:type="auto"/>
            <w:hideMark/>
          </w:tcPr>
          <w:p w14:paraId="2F39C1A1" w14:textId="65F7AAB3"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9.8%</w:t>
            </w:r>
          </w:p>
        </w:tc>
        <w:tc>
          <w:tcPr>
            <w:tcW w:w="0" w:type="auto"/>
            <w:hideMark/>
          </w:tcPr>
          <w:p w14:paraId="55C609EA" w14:textId="1C12D56F"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$53,008,698 </w:t>
            </w:r>
          </w:p>
        </w:tc>
        <w:tc>
          <w:tcPr>
            <w:tcW w:w="0" w:type="auto"/>
            <w:hideMark/>
          </w:tcPr>
          <w:p w14:paraId="29773A57" w14:textId="2C5649D4"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$6,229,220 </w:t>
            </w:r>
          </w:p>
        </w:tc>
        <w:tc>
          <w:tcPr>
            <w:tcW w:w="0" w:type="auto"/>
            <w:hideMark/>
          </w:tcPr>
          <w:p w14:paraId="5E05D766" w14:textId="10F1E2F9"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11.8%</w:t>
            </w:r>
          </w:p>
        </w:tc>
      </w:tr>
      <w:tr w:rsidR="004755B0" w:rsidRPr="00F51ACF" w14:paraId="0ED70554" w14:textId="77777777" w:rsidTr="00F51ACF">
        <w:trPr>
          <w:trHeight w:val="244"/>
        </w:trPr>
        <w:tc>
          <w:tcPr>
            <w:cnfStyle w:val="001000000000" w:firstRow="0" w:lastRow="0" w:firstColumn="1" w:lastColumn="0" w:oddVBand="0" w:evenVBand="0" w:oddHBand="0" w:evenHBand="0" w:firstRowFirstColumn="0" w:firstRowLastColumn="0" w:lastRowFirstColumn="0" w:lastRowLastColumn="0"/>
            <w:tcW w:w="0" w:type="auto"/>
            <w:hideMark/>
          </w:tcPr>
          <w:p w14:paraId="2C798F3A" w14:textId="31C95E7A" w:rsidR="004755B0" w:rsidRPr="00F51ACF" w:rsidRDefault="004755B0" w:rsidP="004755B0">
            <w:pPr>
              <w:spacing w:line="240" w:lineRule="auto"/>
              <w:rPr>
                <w:rFonts w:asciiTheme="majorHAnsi" w:eastAsia="Times New Roman" w:hAnsiTheme="majorHAnsi" w:cstheme="majorHAnsi"/>
                <w:color w:val="000000"/>
                <w:sz w:val="16"/>
                <w:szCs w:val="16"/>
              </w:rPr>
            </w:pPr>
            <w:r w:rsidRPr="00F51ACF">
              <w:rPr>
                <w:rFonts w:asciiTheme="majorHAnsi" w:hAnsiTheme="majorHAnsi" w:cstheme="majorHAnsi"/>
                <w:sz w:val="16"/>
                <w:szCs w:val="16"/>
              </w:rPr>
              <w:t>2019</w:t>
            </w:r>
          </w:p>
        </w:tc>
        <w:tc>
          <w:tcPr>
            <w:tcW w:w="0" w:type="auto"/>
            <w:hideMark/>
          </w:tcPr>
          <w:p w14:paraId="4E787584" w14:textId="67925701"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17</w:t>
            </w:r>
          </w:p>
        </w:tc>
        <w:tc>
          <w:tcPr>
            <w:tcW w:w="0" w:type="auto"/>
            <w:hideMark/>
          </w:tcPr>
          <w:p w14:paraId="7E4133CC" w14:textId="2516A739"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9.7%</w:t>
            </w:r>
          </w:p>
        </w:tc>
        <w:tc>
          <w:tcPr>
            <w:tcW w:w="0" w:type="auto"/>
            <w:hideMark/>
          </w:tcPr>
          <w:p w14:paraId="266D1A10" w14:textId="0EB3CC78"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rPr>
            </w:pPr>
            <w:r w:rsidRPr="004755B0">
              <w:rPr>
                <w:sz w:val="16"/>
                <w:szCs w:val="16"/>
              </w:rPr>
              <w:t xml:space="preserve"> $25,575,577 </w:t>
            </w:r>
          </w:p>
        </w:tc>
        <w:tc>
          <w:tcPr>
            <w:tcW w:w="0" w:type="auto"/>
            <w:hideMark/>
          </w:tcPr>
          <w:p w14:paraId="428DA284" w14:textId="7E6F54CC"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$4,662,046 </w:t>
            </w:r>
          </w:p>
        </w:tc>
        <w:tc>
          <w:tcPr>
            <w:tcW w:w="0" w:type="auto"/>
            <w:hideMark/>
          </w:tcPr>
          <w:p w14:paraId="4EA07F77" w14:textId="11B5A774"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18.2%</w:t>
            </w:r>
          </w:p>
        </w:tc>
        <w:tc>
          <w:tcPr>
            <w:tcW w:w="0" w:type="auto"/>
            <w:hideMark/>
          </w:tcPr>
          <w:p w14:paraId="7E46C614" w14:textId="0AD30B49"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$25,421,993 </w:t>
            </w:r>
          </w:p>
        </w:tc>
        <w:tc>
          <w:tcPr>
            <w:tcW w:w="0" w:type="auto"/>
            <w:hideMark/>
          </w:tcPr>
          <w:p w14:paraId="7C29E2E6" w14:textId="7BFB6935"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$4,955,852 </w:t>
            </w:r>
          </w:p>
        </w:tc>
        <w:tc>
          <w:tcPr>
            <w:tcW w:w="0" w:type="auto"/>
            <w:hideMark/>
          </w:tcPr>
          <w:p w14:paraId="6DF298A6" w14:textId="593F3A1D"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19.5%</w:t>
            </w:r>
          </w:p>
        </w:tc>
      </w:tr>
      <w:tr w:rsidR="004755B0" w:rsidRPr="00F51ACF" w14:paraId="0AD28923" w14:textId="77777777" w:rsidTr="00F51ACF">
        <w:trPr>
          <w:trHeight w:val="244"/>
        </w:trPr>
        <w:tc>
          <w:tcPr>
            <w:cnfStyle w:val="001000000000" w:firstRow="0" w:lastRow="0" w:firstColumn="1" w:lastColumn="0" w:oddVBand="0" w:evenVBand="0" w:oddHBand="0" w:evenHBand="0" w:firstRowFirstColumn="0" w:firstRowLastColumn="0" w:lastRowFirstColumn="0" w:lastRowLastColumn="0"/>
            <w:tcW w:w="0" w:type="auto"/>
            <w:hideMark/>
          </w:tcPr>
          <w:p w14:paraId="69F42614" w14:textId="3A9966F6" w:rsidR="004755B0" w:rsidRPr="00F51ACF" w:rsidRDefault="004755B0" w:rsidP="004755B0">
            <w:pPr>
              <w:spacing w:line="240" w:lineRule="auto"/>
              <w:rPr>
                <w:rFonts w:asciiTheme="majorHAnsi" w:eastAsia="Times New Roman" w:hAnsiTheme="majorHAnsi" w:cstheme="majorHAnsi"/>
                <w:color w:val="000000"/>
                <w:sz w:val="16"/>
                <w:szCs w:val="16"/>
              </w:rPr>
            </w:pPr>
            <w:r w:rsidRPr="00F51ACF">
              <w:rPr>
                <w:rFonts w:asciiTheme="majorHAnsi" w:hAnsiTheme="majorHAnsi" w:cstheme="majorHAnsi"/>
                <w:sz w:val="16"/>
                <w:szCs w:val="16"/>
              </w:rPr>
              <w:t>2020</w:t>
            </w:r>
          </w:p>
        </w:tc>
        <w:tc>
          <w:tcPr>
            <w:tcW w:w="0" w:type="auto"/>
            <w:hideMark/>
          </w:tcPr>
          <w:p w14:paraId="5665C0CE" w14:textId="07B240B8"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9</w:t>
            </w:r>
          </w:p>
        </w:tc>
        <w:tc>
          <w:tcPr>
            <w:tcW w:w="0" w:type="auto"/>
            <w:hideMark/>
          </w:tcPr>
          <w:p w14:paraId="18A27C20" w14:textId="56C30FED"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10.0%</w:t>
            </w:r>
          </w:p>
        </w:tc>
        <w:tc>
          <w:tcPr>
            <w:tcW w:w="0" w:type="auto"/>
            <w:hideMark/>
          </w:tcPr>
          <w:p w14:paraId="2C809092" w14:textId="7DDB410F"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rPr>
            </w:pPr>
            <w:r w:rsidRPr="004755B0">
              <w:rPr>
                <w:sz w:val="16"/>
                <w:szCs w:val="16"/>
              </w:rPr>
              <w:t xml:space="preserve"> $10,762,433 </w:t>
            </w:r>
          </w:p>
        </w:tc>
        <w:tc>
          <w:tcPr>
            <w:tcW w:w="0" w:type="auto"/>
            <w:hideMark/>
          </w:tcPr>
          <w:p w14:paraId="5B370CAD" w14:textId="637475AB"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$1,096,041 </w:t>
            </w:r>
          </w:p>
        </w:tc>
        <w:tc>
          <w:tcPr>
            <w:tcW w:w="0" w:type="auto"/>
            <w:hideMark/>
          </w:tcPr>
          <w:p w14:paraId="69EE284E" w14:textId="0F4223DF"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10.2%</w:t>
            </w:r>
          </w:p>
        </w:tc>
        <w:tc>
          <w:tcPr>
            <w:tcW w:w="0" w:type="auto"/>
            <w:hideMark/>
          </w:tcPr>
          <w:p w14:paraId="708D21E8" w14:textId="401E8250"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$9,423,921 </w:t>
            </w:r>
          </w:p>
        </w:tc>
        <w:tc>
          <w:tcPr>
            <w:tcW w:w="0" w:type="auto"/>
            <w:hideMark/>
          </w:tcPr>
          <w:p w14:paraId="715ABEDC" w14:textId="0023715E"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$1,448,417 </w:t>
            </w:r>
          </w:p>
        </w:tc>
        <w:tc>
          <w:tcPr>
            <w:tcW w:w="0" w:type="auto"/>
            <w:hideMark/>
          </w:tcPr>
          <w:p w14:paraId="4158E83F" w14:textId="03F37E6C"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15.4%</w:t>
            </w:r>
          </w:p>
        </w:tc>
      </w:tr>
      <w:tr w:rsidR="004755B0" w:rsidRPr="00F51ACF" w14:paraId="3490E57E" w14:textId="77777777" w:rsidTr="00F51ACF">
        <w:trPr>
          <w:trHeight w:val="244"/>
        </w:trPr>
        <w:tc>
          <w:tcPr>
            <w:cnfStyle w:val="001000000000" w:firstRow="0" w:lastRow="0" w:firstColumn="1" w:lastColumn="0" w:oddVBand="0" w:evenVBand="0" w:oddHBand="0" w:evenHBand="0" w:firstRowFirstColumn="0" w:firstRowLastColumn="0" w:lastRowFirstColumn="0" w:lastRowLastColumn="0"/>
            <w:tcW w:w="0" w:type="auto"/>
          </w:tcPr>
          <w:p w14:paraId="510BB260" w14:textId="69E449AF" w:rsidR="004755B0" w:rsidRPr="00F51ACF" w:rsidRDefault="004755B0" w:rsidP="004755B0">
            <w:pPr>
              <w:spacing w:line="240" w:lineRule="auto"/>
              <w:rPr>
                <w:rFonts w:asciiTheme="majorHAnsi" w:eastAsia="Arial" w:hAnsiTheme="majorHAnsi" w:cstheme="majorHAnsi"/>
                <w:color w:val="000000"/>
                <w:sz w:val="16"/>
                <w:szCs w:val="16"/>
              </w:rPr>
            </w:pPr>
            <w:r w:rsidRPr="00F51ACF">
              <w:rPr>
                <w:rFonts w:asciiTheme="majorHAnsi" w:hAnsiTheme="majorHAnsi" w:cstheme="majorHAnsi"/>
                <w:sz w:val="16"/>
                <w:szCs w:val="16"/>
              </w:rPr>
              <w:t>2021</w:t>
            </w:r>
          </w:p>
        </w:tc>
        <w:tc>
          <w:tcPr>
            <w:tcW w:w="0" w:type="auto"/>
          </w:tcPr>
          <w:p w14:paraId="48C6FC38" w14:textId="1DE1E5BE"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sz w:val="16"/>
                <w:szCs w:val="16"/>
              </w:rPr>
            </w:pPr>
            <w:r w:rsidRPr="004755B0">
              <w:rPr>
                <w:sz w:val="16"/>
                <w:szCs w:val="16"/>
              </w:rPr>
              <w:t>22</w:t>
            </w:r>
          </w:p>
        </w:tc>
        <w:tc>
          <w:tcPr>
            <w:tcW w:w="0" w:type="auto"/>
          </w:tcPr>
          <w:p w14:paraId="14C6C70A" w14:textId="2CA34DD4"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sz w:val="16"/>
                <w:szCs w:val="16"/>
              </w:rPr>
            </w:pPr>
            <w:r w:rsidRPr="004755B0">
              <w:rPr>
                <w:sz w:val="16"/>
                <w:szCs w:val="16"/>
              </w:rPr>
              <w:t>9.2%</w:t>
            </w:r>
          </w:p>
        </w:tc>
        <w:tc>
          <w:tcPr>
            <w:tcW w:w="0" w:type="auto"/>
          </w:tcPr>
          <w:p w14:paraId="28CE842E" w14:textId="2818878B"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755B0">
              <w:rPr>
                <w:sz w:val="16"/>
                <w:szCs w:val="16"/>
              </w:rPr>
              <w:t xml:space="preserve"> $21,703,466 </w:t>
            </w:r>
          </w:p>
        </w:tc>
        <w:tc>
          <w:tcPr>
            <w:tcW w:w="0" w:type="auto"/>
          </w:tcPr>
          <w:p w14:paraId="15B19F5F" w14:textId="447EBC47"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sz w:val="16"/>
                <w:szCs w:val="16"/>
              </w:rPr>
            </w:pPr>
            <w:r w:rsidRPr="004755B0">
              <w:rPr>
                <w:sz w:val="16"/>
                <w:szCs w:val="16"/>
              </w:rPr>
              <w:t xml:space="preserve"> $2,574,533 </w:t>
            </w:r>
          </w:p>
        </w:tc>
        <w:tc>
          <w:tcPr>
            <w:tcW w:w="0" w:type="auto"/>
          </w:tcPr>
          <w:p w14:paraId="5A3BBE00" w14:textId="0CED8D7E"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4755B0">
              <w:rPr>
                <w:sz w:val="16"/>
                <w:szCs w:val="16"/>
              </w:rPr>
              <w:t>11.9%</w:t>
            </w:r>
          </w:p>
        </w:tc>
        <w:tc>
          <w:tcPr>
            <w:tcW w:w="0" w:type="auto"/>
          </w:tcPr>
          <w:p w14:paraId="40F4F292" w14:textId="5E6194E8"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sz w:val="16"/>
                <w:szCs w:val="16"/>
              </w:rPr>
            </w:pPr>
            <w:r w:rsidRPr="004755B0">
              <w:rPr>
                <w:sz w:val="16"/>
                <w:szCs w:val="16"/>
              </w:rPr>
              <w:t xml:space="preserve"> $26,386,790 </w:t>
            </w:r>
          </w:p>
        </w:tc>
        <w:tc>
          <w:tcPr>
            <w:tcW w:w="0" w:type="auto"/>
          </w:tcPr>
          <w:p w14:paraId="100AAC73" w14:textId="1F230062" w:rsidR="004755B0" w:rsidRPr="004755B0" w:rsidRDefault="004755B0" w:rsidP="004755B0">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sz w:val="16"/>
                <w:szCs w:val="16"/>
              </w:rPr>
            </w:pPr>
            <w:r w:rsidRPr="004755B0">
              <w:rPr>
                <w:sz w:val="16"/>
                <w:szCs w:val="16"/>
              </w:rPr>
              <w:t xml:space="preserve"> $2,324,648 </w:t>
            </w:r>
          </w:p>
        </w:tc>
        <w:tc>
          <w:tcPr>
            <w:tcW w:w="0" w:type="auto"/>
          </w:tcPr>
          <w:p w14:paraId="0486705A" w14:textId="4F8E7829" w:rsidR="004755B0" w:rsidRPr="004755B0" w:rsidRDefault="004755B0" w:rsidP="004755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4755B0">
              <w:rPr>
                <w:sz w:val="16"/>
                <w:szCs w:val="16"/>
              </w:rPr>
              <w:t>8.8%</w:t>
            </w:r>
          </w:p>
        </w:tc>
      </w:tr>
      <w:tr w:rsidR="004755B0" w:rsidRPr="00F51ACF" w14:paraId="1D8FB497" w14:textId="77777777" w:rsidTr="00F51ACF">
        <w:trPr>
          <w:cnfStyle w:val="010000000000" w:firstRow="0" w:lastRow="1"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auto"/>
            <w:hideMark/>
          </w:tcPr>
          <w:p w14:paraId="49E3CBCC" w14:textId="4E83EBAF" w:rsidR="004755B0" w:rsidRPr="00F51ACF" w:rsidRDefault="004755B0" w:rsidP="004755B0">
            <w:pPr>
              <w:spacing w:line="240" w:lineRule="auto"/>
              <w:rPr>
                <w:rFonts w:asciiTheme="majorHAnsi" w:eastAsia="Times New Roman" w:hAnsiTheme="majorHAnsi" w:cstheme="majorHAnsi"/>
                <w:color w:val="000000"/>
                <w:sz w:val="16"/>
                <w:szCs w:val="16"/>
              </w:rPr>
            </w:pPr>
            <w:r w:rsidRPr="00F51ACF">
              <w:rPr>
                <w:rFonts w:asciiTheme="majorHAnsi" w:hAnsiTheme="majorHAnsi" w:cstheme="majorHAnsi"/>
                <w:sz w:val="16"/>
                <w:szCs w:val="16"/>
              </w:rPr>
              <w:t>Total</w:t>
            </w:r>
          </w:p>
        </w:tc>
        <w:tc>
          <w:tcPr>
            <w:tcW w:w="0" w:type="auto"/>
            <w:hideMark/>
          </w:tcPr>
          <w:p w14:paraId="430E20E8" w14:textId="6F8B03BA" w:rsidR="004755B0" w:rsidRPr="004755B0" w:rsidRDefault="004755B0" w:rsidP="004755B0">
            <w:pPr>
              <w:spacing w:line="240" w:lineRule="auto"/>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78</w:t>
            </w:r>
          </w:p>
        </w:tc>
        <w:tc>
          <w:tcPr>
            <w:tcW w:w="0" w:type="auto"/>
            <w:hideMark/>
          </w:tcPr>
          <w:p w14:paraId="10114F48" w14:textId="7938412E" w:rsidR="004755B0" w:rsidRPr="004755B0" w:rsidRDefault="004755B0" w:rsidP="004755B0">
            <w:pPr>
              <w:spacing w:line="240" w:lineRule="auto"/>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8.8%</w:t>
            </w:r>
          </w:p>
        </w:tc>
        <w:tc>
          <w:tcPr>
            <w:tcW w:w="0" w:type="auto"/>
            <w:hideMark/>
          </w:tcPr>
          <w:p w14:paraId="031B3F52" w14:textId="15844C8F" w:rsidR="004755B0" w:rsidRPr="004755B0" w:rsidRDefault="004755B0" w:rsidP="004755B0">
            <w:pPr>
              <w:spacing w:line="240" w:lineRule="auto"/>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rPr>
            </w:pPr>
            <w:r w:rsidRPr="004755B0">
              <w:rPr>
                <w:sz w:val="16"/>
                <w:szCs w:val="16"/>
              </w:rPr>
              <w:t xml:space="preserve"> $107,230,015 </w:t>
            </w:r>
          </w:p>
        </w:tc>
        <w:tc>
          <w:tcPr>
            <w:tcW w:w="0" w:type="auto"/>
            <w:hideMark/>
          </w:tcPr>
          <w:p w14:paraId="4758EF2D" w14:textId="4DEBBEAE" w:rsidR="004755B0" w:rsidRPr="004755B0" w:rsidRDefault="004755B0" w:rsidP="004755B0">
            <w:pPr>
              <w:spacing w:line="240" w:lineRule="auto"/>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$13,142,463 </w:t>
            </w:r>
          </w:p>
        </w:tc>
        <w:tc>
          <w:tcPr>
            <w:tcW w:w="0" w:type="auto"/>
            <w:hideMark/>
          </w:tcPr>
          <w:p w14:paraId="39DC68A4" w14:textId="3CECB24E" w:rsidR="004755B0" w:rsidRPr="004755B0" w:rsidRDefault="004755B0" w:rsidP="004755B0">
            <w:pPr>
              <w:spacing w:line="240" w:lineRule="auto"/>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12.3%</w:t>
            </w:r>
          </w:p>
        </w:tc>
        <w:tc>
          <w:tcPr>
            <w:tcW w:w="0" w:type="auto"/>
            <w:hideMark/>
          </w:tcPr>
          <w:p w14:paraId="57A73D82" w14:textId="7B95EA30" w:rsidR="004755B0" w:rsidRPr="004755B0" w:rsidRDefault="004755B0" w:rsidP="004755B0">
            <w:pPr>
              <w:spacing w:line="240" w:lineRule="auto"/>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$114,241,403 </w:t>
            </w:r>
          </w:p>
        </w:tc>
        <w:tc>
          <w:tcPr>
            <w:tcW w:w="0" w:type="auto"/>
            <w:hideMark/>
          </w:tcPr>
          <w:p w14:paraId="45EF8D93" w14:textId="3C3537F7" w:rsidR="004755B0" w:rsidRPr="004755B0" w:rsidRDefault="004755B0" w:rsidP="004755B0">
            <w:pPr>
              <w:spacing w:line="240" w:lineRule="auto"/>
              <w:jc w:val="right"/>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 xml:space="preserve"> $14,958,137 </w:t>
            </w:r>
          </w:p>
        </w:tc>
        <w:tc>
          <w:tcPr>
            <w:tcW w:w="0" w:type="auto"/>
            <w:hideMark/>
          </w:tcPr>
          <w:p w14:paraId="12172915" w14:textId="7A829571" w:rsidR="004755B0" w:rsidRPr="004755B0" w:rsidRDefault="004755B0" w:rsidP="004755B0">
            <w:pPr>
              <w:spacing w:line="240" w:lineRule="auto"/>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6"/>
                <w:szCs w:val="16"/>
              </w:rPr>
            </w:pPr>
            <w:r w:rsidRPr="004755B0">
              <w:rPr>
                <w:sz w:val="16"/>
                <w:szCs w:val="16"/>
              </w:rPr>
              <w:t>13.1%</w:t>
            </w:r>
          </w:p>
        </w:tc>
      </w:tr>
    </w:tbl>
    <w:p w14:paraId="2D0FD3E8" w14:textId="77777777" w:rsidR="63C4A438" w:rsidRDefault="63C4A438" w:rsidP="63C4A438">
      <w:pPr>
        <w:spacing w:line="276" w:lineRule="auto"/>
        <w:rPr>
          <w:rFonts w:eastAsia="Arial"/>
          <w:i/>
          <w:iCs/>
        </w:rPr>
      </w:pPr>
    </w:p>
    <w:p w14:paraId="534136F5" w14:textId="77777777" w:rsidR="00941DF5" w:rsidRDefault="00941DF5" w:rsidP="5647B939">
      <w:pPr>
        <w:pStyle w:val="Heading2"/>
        <w:spacing w:line="276" w:lineRule="auto"/>
      </w:pPr>
      <w:r>
        <w:t xml:space="preserve">SBE Utilization by Prime Contractor </w:t>
      </w:r>
    </w:p>
    <w:p w14:paraId="07E64061" w14:textId="77777777" w:rsidR="004932A3" w:rsidRPr="004932A3" w:rsidRDefault="004932A3" w:rsidP="5647B939">
      <w:pPr>
        <w:spacing w:line="276" w:lineRule="auto"/>
      </w:pPr>
    </w:p>
    <w:p w14:paraId="274087E1" w14:textId="6928850B" w:rsidR="00D21714" w:rsidRDefault="008A5CBB" w:rsidP="5647B939">
      <w:pPr>
        <w:spacing w:line="276" w:lineRule="auto"/>
      </w:pPr>
      <w:r>
        <w:lastRenderedPageBreak/>
        <w:t>Fourteen</w:t>
      </w:r>
      <w:r w:rsidR="004932A3">
        <w:t xml:space="preserve"> prime contractors performed work on the </w:t>
      </w:r>
      <w:r w:rsidR="00220206">
        <w:t>eighty-five</w:t>
      </w:r>
      <w:r w:rsidR="004932A3">
        <w:t xml:space="preserve"> completed City projects. Of these prime contractors, </w:t>
      </w:r>
      <w:r w:rsidR="00220206">
        <w:t>ten</w:t>
      </w:r>
      <w:r w:rsidR="004932A3">
        <w:t xml:space="preserve"> met the 10 percent SBE Utilization goal averaged across all</w:t>
      </w:r>
      <w:r>
        <w:t xml:space="preserve"> </w:t>
      </w:r>
      <w:proofErr w:type="gramStart"/>
      <w:r>
        <w:t>projects</w:t>
      </w:r>
      <w:r w:rsidR="00220206">
        <w:t xml:space="preserve"> </w:t>
      </w:r>
      <w:r w:rsidR="004932A3">
        <w:t>.</w:t>
      </w:r>
      <w:proofErr w:type="gramEnd"/>
      <w:r w:rsidR="00763D6F">
        <w:t xml:space="preserve"> </w:t>
      </w:r>
      <w:r w:rsidR="004932A3">
        <w:t>Table 4 below shows total project and SBE expenses by prime contractor.</w:t>
      </w:r>
    </w:p>
    <w:p w14:paraId="71A996E1" w14:textId="77777777" w:rsidR="004932A3" w:rsidRDefault="004932A3" w:rsidP="5647B939">
      <w:pPr>
        <w:spacing w:line="276" w:lineRule="auto"/>
      </w:pPr>
    </w:p>
    <w:p w14:paraId="120E3545" w14:textId="77777777" w:rsidR="00D21714" w:rsidRDefault="00084DCA" w:rsidP="5647B939">
      <w:pPr>
        <w:spacing w:line="276" w:lineRule="auto"/>
        <w:rPr>
          <w:i/>
          <w:iCs/>
        </w:rPr>
      </w:pPr>
      <w:r w:rsidRPr="5647B939">
        <w:rPr>
          <w:i/>
          <w:iCs/>
        </w:rPr>
        <w:t>Table 4. SBE Expenses by Prime Contractor</w:t>
      </w:r>
    </w:p>
    <w:tbl>
      <w:tblPr>
        <w:tblStyle w:val="GridTable4-Accent1"/>
        <w:tblW w:w="10070" w:type="dxa"/>
        <w:tblLook w:val="0660" w:firstRow="1" w:lastRow="1" w:firstColumn="0" w:lastColumn="0" w:noHBand="1" w:noVBand="1"/>
      </w:tblPr>
      <w:tblGrid>
        <w:gridCol w:w="1893"/>
        <w:gridCol w:w="1042"/>
        <w:gridCol w:w="1290"/>
        <w:gridCol w:w="1260"/>
        <w:gridCol w:w="1042"/>
        <w:gridCol w:w="1248"/>
        <w:gridCol w:w="1174"/>
        <w:gridCol w:w="1121"/>
      </w:tblGrid>
      <w:tr w:rsidR="00503D76" w:rsidRPr="00F51ACF" w14:paraId="4C305EAB" w14:textId="77777777" w:rsidTr="00503D76">
        <w:trPr>
          <w:cnfStyle w:val="100000000000" w:firstRow="1" w:lastRow="0" w:firstColumn="0" w:lastColumn="0" w:oddVBand="0" w:evenVBand="0" w:oddHBand="0" w:evenHBand="0" w:firstRowFirstColumn="0" w:firstRowLastColumn="0" w:lastRowFirstColumn="0" w:lastRowLastColumn="0"/>
          <w:trHeight w:val="290"/>
        </w:trPr>
        <w:tc>
          <w:tcPr>
            <w:tcW w:w="1893" w:type="dxa"/>
            <w:noWrap/>
            <w:hideMark/>
          </w:tcPr>
          <w:p w14:paraId="461E5189" w14:textId="77777777"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Prime Contractor</w:t>
            </w:r>
          </w:p>
        </w:tc>
        <w:tc>
          <w:tcPr>
            <w:tcW w:w="1042" w:type="dxa"/>
            <w:noWrap/>
            <w:hideMark/>
          </w:tcPr>
          <w:p w14:paraId="142ADAD3" w14:textId="77777777"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 xml:space="preserve"># </w:t>
            </w:r>
            <w:proofErr w:type="gramStart"/>
            <w:r w:rsidRPr="00503D76">
              <w:rPr>
                <w:rFonts w:asciiTheme="majorHAnsi" w:hAnsiTheme="majorHAnsi" w:cstheme="majorHAnsi"/>
                <w:sz w:val="16"/>
                <w:szCs w:val="16"/>
              </w:rPr>
              <w:t>of</w:t>
            </w:r>
            <w:proofErr w:type="gramEnd"/>
            <w:r w:rsidRPr="00503D76">
              <w:rPr>
                <w:rFonts w:asciiTheme="majorHAnsi" w:hAnsiTheme="majorHAnsi" w:cstheme="majorHAnsi"/>
                <w:sz w:val="16"/>
                <w:szCs w:val="16"/>
              </w:rPr>
              <w:t xml:space="preserve"> Projects</w:t>
            </w:r>
          </w:p>
        </w:tc>
        <w:tc>
          <w:tcPr>
            <w:tcW w:w="1290" w:type="dxa"/>
            <w:noWrap/>
            <w:hideMark/>
          </w:tcPr>
          <w:p w14:paraId="4B199343" w14:textId="38C9447A"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Total Bid Amt</w:t>
            </w:r>
          </w:p>
        </w:tc>
        <w:tc>
          <w:tcPr>
            <w:tcW w:w="1260" w:type="dxa"/>
            <w:noWrap/>
            <w:hideMark/>
          </w:tcPr>
          <w:p w14:paraId="2F335D8A" w14:textId="7C8F013D"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 xml:space="preserve">Projected </w:t>
            </w:r>
            <w:r w:rsidR="00FF07D4" w:rsidRPr="00503D76">
              <w:rPr>
                <w:rFonts w:asciiTheme="majorHAnsi" w:hAnsiTheme="majorHAnsi" w:cstheme="majorHAnsi"/>
                <w:sz w:val="16"/>
                <w:szCs w:val="16"/>
              </w:rPr>
              <w:t>SBE Amt</w:t>
            </w:r>
          </w:p>
        </w:tc>
        <w:tc>
          <w:tcPr>
            <w:tcW w:w="1042" w:type="dxa"/>
            <w:noWrap/>
            <w:hideMark/>
          </w:tcPr>
          <w:p w14:paraId="609835B2" w14:textId="77777777"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Projected SBE %</w:t>
            </w:r>
          </w:p>
        </w:tc>
        <w:tc>
          <w:tcPr>
            <w:tcW w:w="1248" w:type="dxa"/>
            <w:noWrap/>
            <w:hideMark/>
          </w:tcPr>
          <w:p w14:paraId="4A50E134" w14:textId="57B9BE9B"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Total Actual Expenses</w:t>
            </w:r>
          </w:p>
        </w:tc>
        <w:tc>
          <w:tcPr>
            <w:tcW w:w="1174" w:type="dxa"/>
            <w:noWrap/>
            <w:hideMark/>
          </w:tcPr>
          <w:p w14:paraId="1BDC652E" w14:textId="152B2206"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Actual SBE Amt</w:t>
            </w:r>
          </w:p>
        </w:tc>
        <w:tc>
          <w:tcPr>
            <w:tcW w:w="1121" w:type="dxa"/>
            <w:noWrap/>
            <w:hideMark/>
          </w:tcPr>
          <w:p w14:paraId="71224EA7" w14:textId="77777777" w:rsidR="002675E4" w:rsidRPr="00503D76" w:rsidRDefault="002675E4" w:rsidP="00F51ACF">
            <w:pPr>
              <w:spacing w:line="276" w:lineRule="auto"/>
              <w:jc w:val="center"/>
              <w:rPr>
                <w:rFonts w:asciiTheme="majorHAnsi" w:hAnsiTheme="majorHAnsi" w:cstheme="majorHAnsi"/>
                <w:sz w:val="16"/>
                <w:szCs w:val="16"/>
              </w:rPr>
            </w:pPr>
            <w:r w:rsidRPr="00503D76">
              <w:rPr>
                <w:rFonts w:asciiTheme="majorHAnsi" w:hAnsiTheme="majorHAnsi" w:cstheme="majorHAnsi"/>
                <w:sz w:val="16"/>
                <w:szCs w:val="16"/>
              </w:rPr>
              <w:t>Actual SBE %</w:t>
            </w:r>
          </w:p>
        </w:tc>
      </w:tr>
      <w:tr w:rsidR="00503D76" w:rsidRPr="00F51ACF" w14:paraId="4FD6A714" w14:textId="77777777" w:rsidTr="00503D76">
        <w:trPr>
          <w:trHeight w:val="290"/>
        </w:trPr>
        <w:tc>
          <w:tcPr>
            <w:tcW w:w="1893" w:type="dxa"/>
            <w:noWrap/>
          </w:tcPr>
          <w:p w14:paraId="76ACA5A7" w14:textId="47DA3E15"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Becco Contractors</w:t>
            </w:r>
          </w:p>
        </w:tc>
        <w:tc>
          <w:tcPr>
            <w:tcW w:w="1042" w:type="dxa"/>
            <w:noWrap/>
          </w:tcPr>
          <w:p w14:paraId="585BE836" w14:textId="1A8C8ADE"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9</w:t>
            </w:r>
          </w:p>
        </w:tc>
        <w:tc>
          <w:tcPr>
            <w:tcW w:w="1290" w:type="dxa"/>
            <w:noWrap/>
          </w:tcPr>
          <w:p w14:paraId="58E832DC" w14:textId="1CB814F5"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$27,138,673 </w:t>
            </w:r>
          </w:p>
        </w:tc>
        <w:tc>
          <w:tcPr>
            <w:tcW w:w="1260" w:type="dxa"/>
            <w:noWrap/>
          </w:tcPr>
          <w:p w14:paraId="5EF41A8E" w14:textId="5D08B838"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$2,608,648 </w:t>
            </w:r>
          </w:p>
        </w:tc>
        <w:tc>
          <w:tcPr>
            <w:tcW w:w="1042" w:type="dxa"/>
            <w:noWrap/>
          </w:tcPr>
          <w:p w14:paraId="55ABA45C" w14:textId="3290258B"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9.6%</w:t>
            </w:r>
          </w:p>
        </w:tc>
        <w:tc>
          <w:tcPr>
            <w:tcW w:w="1248" w:type="dxa"/>
            <w:noWrap/>
          </w:tcPr>
          <w:p w14:paraId="34CD310B" w14:textId="5EFD203C"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$35,606,186 </w:t>
            </w:r>
          </w:p>
        </w:tc>
        <w:tc>
          <w:tcPr>
            <w:tcW w:w="1174" w:type="dxa"/>
            <w:noWrap/>
          </w:tcPr>
          <w:p w14:paraId="3EDF41BF" w14:textId="2FCA765D"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$2,826,948 </w:t>
            </w:r>
          </w:p>
        </w:tc>
        <w:tc>
          <w:tcPr>
            <w:tcW w:w="1121" w:type="dxa"/>
            <w:noWrap/>
          </w:tcPr>
          <w:p w14:paraId="15EA128F" w14:textId="052B9C17"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7.9%</w:t>
            </w:r>
          </w:p>
        </w:tc>
      </w:tr>
      <w:tr w:rsidR="00503D76" w:rsidRPr="00F51ACF" w14:paraId="2F730D5A" w14:textId="77777777" w:rsidTr="00503D76">
        <w:trPr>
          <w:trHeight w:val="290"/>
        </w:trPr>
        <w:tc>
          <w:tcPr>
            <w:tcW w:w="1893" w:type="dxa"/>
            <w:noWrap/>
          </w:tcPr>
          <w:p w14:paraId="78D48DC4" w14:textId="750FCAB6"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Bret Barnhart Excavating</w:t>
            </w:r>
          </w:p>
        </w:tc>
        <w:tc>
          <w:tcPr>
            <w:tcW w:w="1042" w:type="dxa"/>
            <w:noWrap/>
          </w:tcPr>
          <w:p w14:paraId="0D4FA0CD" w14:textId="79E09655"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w:t>
            </w:r>
          </w:p>
        </w:tc>
        <w:tc>
          <w:tcPr>
            <w:tcW w:w="1290" w:type="dxa"/>
            <w:noWrap/>
          </w:tcPr>
          <w:p w14:paraId="42D8910B" w14:textId="37F44293"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$235,000 </w:t>
            </w:r>
          </w:p>
        </w:tc>
        <w:tc>
          <w:tcPr>
            <w:tcW w:w="1260" w:type="dxa"/>
            <w:noWrap/>
          </w:tcPr>
          <w:p w14:paraId="09413229" w14:textId="30AAD972"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$23,625 </w:t>
            </w:r>
          </w:p>
        </w:tc>
        <w:tc>
          <w:tcPr>
            <w:tcW w:w="1042" w:type="dxa"/>
            <w:noWrap/>
          </w:tcPr>
          <w:p w14:paraId="252DF63C" w14:textId="2564AE4D"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10.1%</w:t>
            </w:r>
          </w:p>
        </w:tc>
        <w:tc>
          <w:tcPr>
            <w:tcW w:w="1248" w:type="dxa"/>
            <w:noWrap/>
          </w:tcPr>
          <w:p w14:paraId="6F4C1D22" w14:textId="227F892E"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$307,918 </w:t>
            </w:r>
          </w:p>
        </w:tc>
        <w:tc>
          <w:tcPr>
            <w:tcW w:w="1174" w:type="dxa"/>
            <w:noWrap/>
          </w:tcPr>
          <w:p w14:paraId="56068A2D" w14:textId="11BE6EF3"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$26,566 </w:t>
            </w:r>
          </w:p>
        </w:tc>
        <w:tc>
          <w:tcPr>
            <w:tcW w:w="1121" w:type="dxa"/>
            <w:noWrap/>
          </w:tcPr>
          <w:p w14:paraId="53EFBEAE" w14:textId="51B30D75"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8.6%</w:t>
            </w:r>
          </w:p>
        </w:tc>
      </w:tr>
      <w:tr w:rsidR="00503D76" w:rsidRPr="00F51ACF" w14:paraId="643B14E4" w14:textId="77777777" w:rsidTr="00503D76">
        <w:trPr>
          <w:trHeight w:val="290"/>
        </w:trPr>
        <w:tc>
          <w:tcPr>
            <w:tcW w:w="1893" w:type="dxa"/>
            <w:noWrap/>
          </w:tcPr>
          <w:p w14:paraId="6BD3FE00" w14:textId="5D182FA6"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Builder's Unlimited</w:t>
            </w:r>
          </w:p>
        </w:tc>
        <w:tc>
          <w:tcPr>
            <w:tcW w:w="1042" w:type="dxa"/>
            <w:noWrap/>
          </w:tcPr>
          <w:p w14:paraId="3EC42AB4" w14:textId="03E8CD99"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3</w:t>
            </w:r>
          </w:p>
        </w:tc>
        <w:tc>
          <w:tcPr>
            <w:tcW w:w="1290" w:type="dxa"/>
            <w:noWrap/>
          </w:tcPr>
          <w:p w14:paraId="06A71A07" w14:textId="15241557"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$1,756,623 </w:t>
            </w:r>
          </w:p>
        </w:tc>
        <w:tc>
          <w:tcPr>
            <w:tcW w:w="1260" w:type="dxa"/>
            <w:noWrap/>
          </w:tcPr>
          <w:p w14:paraId="539E41D4" w14:textId="24536B45"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$189,849 </w:t>
            </w:r>
          </w:p>
        </w:tc>
        <w:tc>
          <w:tcPr>
            <w:tcW w:w="1042" w:type="dxa"/>
            <w:noWrap/>
          </w:tcPr>
          <w:p w14:paraId="79504033" w14:textId="2F47068A"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10.8%</w:t>
            </w:r>
          </w:p>
        </w:tc>
        <w:tc>
          <w:tcPr>
            <w:tcW w:w="1248" w:type="dxa"/>
            <w:noWrap/>
          </w:tcPr>
          <w:p w14:paraId="16BBCABB" w14:textId="52D2B91E"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$1,809,143 </w:t>
            </w:r>
          </w:p>
        </w:tc>
        <w:tc>
          <w:tcPr>
            <w:tcW w:w="1174" w:type="dxa"/>
            <w:noWrap/>
          </w:tcPr>
          <w:p w14:paraId="3D5D387B" w14:textId="79149DB2"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$336,630 </w:t>
            </w:r>
          </w:p>
        </w:tc>
        <w:tc>
          <w:tcPr>
            <w:tcW w:w="1121" w:type="dxa"/>
            <w:noWrap/>
          </w:tcPr>
          <w:p w14:paraId="3C4CAAA3" w14:textId="26F2A1CA"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18.6%</w:t>
            </w:r>
          </w:p>
        </w:tc>
      </w:tr>
      <w:tr w:rsidR="00503D76" w:rsidRPr="00F51ACF" w14:paraId="1A1443A1" w14:textId="77777777" w:rsidTr="00503D76">
        <w:trPr>
          <w:trHeight w:val="290"/>
        </w:trPr>
        <w:tc>
          <w:tcPr>
            <w:tcW w:w="1893" w:type="dxa"/>
            <w:noWrap/>
          </w:tcPr>
          <w:p w14:paraId="499D5B53" w14:textId="45357A0E"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Crossland Construction</w:t>
            </w:r>
          </w:p>
        </w:tc>
        <w:tc>
          <w:tcPr>
            <w:tcW w:w="1042" w:type="dxa"/>
            <w:noWrap/>
          </w:tcPr>
          <w:p w14:paraId="34C55998" w14:textId="2F98435A"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8</w:t>
            </w:r>
          </w:p>
        </w:tc>
        <w:tc>
          <w:tcPr>
            <w:tcW w:w="1290" w:type="dxa"/>
            <w:noWrap/>
          </w:tcPr>
          <w:p w14:paraId="120AD8EA" w14:textId="7F5CAC7B"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$15,942,554 </w:t>
            </w:r>
          </w:p>
        </w:tc>
        <w:tc>
          <w:tcPr>
            <w:tcW w:w="1260" w:type="dxa"/>
            <w:noWrap/>
          </w:tcPr>
          <w:p w14:paraId="4530416E" w14:textId="2151F441"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$1,354,072 </w:t>
            </w:r>
          </w:p>
        </w:tc>
        <w:tc>
          <w:tcPr>
            <w:tcW w:w="1042" w:type="dxa"/>
            <w:noWrap/>
          </w:tcPr>
          <w:p w14:paraId="674AEA2E" w14:textId="601427F8"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8.5%</w:t>
            </w:r>
          </w:p>
        </w:tc>
        <w:tc>
          <w:tcPr>
            <w:tcW w:w="1248" w:type="dxa"/>
            <w:noWrap/>
          </w:tcPr>
          <w:p w14:paraId="4006E304" w14:textId="004E4471"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$16,652,738 </w:t>
            </w:r>
          </w:p>
        </w:tc>
        <w:tc>
          <w:tcPr>
            <w:tcW w:w="1174" w:type="dxa"/>
            <w:noWrap/>
          </w:tcPr>
          <w:p w14:paraId="633FF767" w14:textId="55A45361"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$1,475,482 </w:t>
            </w:r>
          </w:p>
        </w:tc>
        <w:tc>
          <w:tcPr>
            <w:tcW w:w="1121" w:type="dxa"/>
            <w:noWrap/>
          </w:tcPr>
          <w:p w14:paraId="28031A4A" w14:textId="1C1F9027"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8.9%</w:t>
            </w:r>
          </w:p>
        </w:tc>
      </w:tr>
      <w:tr w:rsidR="00503D76" w:rsidRPr="00F51ACF" w14:paraId="6064F7A8" w14:textId="77777777" w:rsidTr="00503D76">
        <w:trPr>
          <w:trHeight w:val="290"/>
        </w:trPr>
        <w:tc>
          <w:tcPr>
            <w:tcW w:w="1893" w:type="dxa"/>
            <w:noWrap/>
          </w:tcPr>
          <w:p w14:paraId="16733A8D" w14:textId="01E9D6DA"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Daris Contractors</w:t>
            </w:r>
          </w:p>
        </w:tc>
        <w:tc>
          <w:tcPr>
            <w:tcW w:w="1042" w:type="dxa"/>
            <w:noWrap/>
          </w:tcPr>
          <w:p w14:paraId="5D99FC80" w14:textId="02E422E5"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4</w:t>
            </w:r>
          </w:p>
        </w:tc>
        <w:tc>
          <w:tcPr>
            <w:tcW w:w="1290" w:type="dxa"/>
            <w:noWrap/>
          </w:tcPr>
          <w:p w14:paraId="7778AD10" w14:textId="051B596E"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$6,907,001 </w:t>
            </w:r>
          </w:p>
        </w:tc>
        <w:tc>
          <w:tcPr>
            <w:tcW w:w="1260" w:type="dxa"/>
            <w:noWrap/>
          </w:tcPr>
          <w:p w14:paraId="6B943499" w14:textId="054277D9"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$977,371 </w:t>
            </w:r>
          </w:p>
        </w:tc>
        <w:tc>
          <w:tcPr>
            <w:tcW w:w="1042" w:type="dxa"/>
            <w:noWrap/>
          </w:tcPr>
          <w:p w14:paraId="2FB2C01A" w14:textId="61FC7618"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14.2%</w:t>
            </w:r>
          </w:p>
        </w:tc>
        <w:tc>
          <w:tcPr>
            <w:tcW w:w="1248" w:type="dxa"/>
            <w:noWrap/>
          </w:tcPr>
          <w:p w14:paraId="77807C49" w14:textId="2D4B5490"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$7,672,578 </w:t>
            </w:r>
          </w:p>
        </w:tc>
        <w:tc>
          <w:tcPr>
            <w:tcW w:w="1174" w:type="dxa"/>
            <w:noWrap/>
          </w:tcPr>
          <w:p w14:paraId="172CEA5E" w14:textId="3DF7EABC"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$1,235,947 </w:t>
            </w:r>
          </w:p>
        </w:tc>
        <w:tc>
          <w:tcPr>
            <w:tcW w:w="1121" w:type="dxa"/>
            <w:noWrap/>
          </w:tcPr>
          <w:p w14:paraId="3127D6B7" w14:textId="6AF500A4"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16.1%</w:t>
            </w:r>
          </w:p>
        </w:tc>
      </w:tr>
      <w:tr w:rsidR="00503D76" w:rsidRPr="00F51ACF" w14:paraId="403A7493" w14:textId="77777777" w:rsidTr="00503D76">
        <w:trPr>
          <w:trHeight w:val="290"/>
        </w:trPr>
        <w:tc>
          <w:tcPr>
            <w:tcW w:w="1893" w:type="dxa"/>
            <w:noWrap/>
          </w:tcPr>
          <w:p w14:paraId="1C7DC552" w14:textId="54268552"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Ellsworth Construction</w:t>
            </w:r>
          </w:p>
        </w:tc>
        <w:tc>
          <w:tcPr>
            <w:tcW w:w="1042" w:type="dxa"/>
            <w:noWrap/>
          </w:tcPr>
          <w:p w14:paraId="200793BD" w14:textId="64D56A70"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23</w:t>
            </w:r>
          </w:p>
        </w:tc>
        <w:tc>
          <w:tcPr>
            <w:tcW w:w="1290" w:type="dxa"/>
            <w:noWrap/>
          </w:tcPr>
          <w:p w14:paraId="5DBB6EEF" w14:textId="6A6127BF"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$26,432,950 </w:t>
            </w:r>
          </w:p>
        </w:tc>
        <w:tc>
          <w:tcPr>
            <w:tcW w:w="1260" w:type="dxa"/>
            <w:noWrap/>
          </w:tcPr>
          <w:p w14:paraId="7A9BA648" w14:textId="2C3EBB28"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$3,479,357 </w:t>
            </w:r>
          </w:p>
        </w:tc>
        <w:tc>
          <w:tcPr>
            <w:tcW w:w="1042" w:type="dxa"/>
            <w:noWrap/>
          </w:tcPr>
          <w:p w14:paraId="404701BB" w14:textId="7D9EAF2A"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13.2%</w:t>
            </w:r>
          </w:p>
        </w:tc>
        <w:tc>
          <w:tcPr>
            <w:tcW w:w="1248" w:type="dxa"/>
            <w:noWrap/>
          </w:tcPr>
          <w:p w14:paraId="7F1A3A39" w14:textId="4BB2E2F5"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$25,076,679 </w:t>
            </w:r>
          </w:p>
        </w:tc>
        <w:tc>
          <w:tcPr>
            <w:tcW w:w="1174" w:type="dxa"/>
            <w:noWrap/>
          </w:tcPr>
          <w:p w14:paraId="2C388E00" w14:textId="28B99EDB"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$3,681,189 </w:t>
            </w:r>
          </w:p>
        </w:tc>
        <w:tc>
          <w:tcPr>
            <w:tcW w:w="1121" w:type="dxa"/>
            <w:noWrap/>
          </w:tcPr>
          <w:p w14:paraId="10AC620E" w14:textId="741006D4"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14.7%</w:t>
            </w:r>
          </w:p>
        </w:tc>
      </w:tr>
      <w:tr w:rsidR="00503D76" w:rsidRPr="00F51ACF" w14:paraId="355B8F2A" w14:textId="77777777" w:rsidTr="00503D76">
        <w:trPr>
          <w:trHeight w:val="290"/>
        </w:trPr>
        <w:tc>
          <w:tcPr>
            <w:tcW w:w="1893" w:type="dxa"/>
            <w:noWrap/>
          </w:tcPr>
          <w:p w14:paraId="1D96FBCE" w14:textId="25E2F9F7"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Grade Line Construction</w:t>
            </w:r>
          </w:p>
        </w:tc>
        <w:tc>
          <w:tcPr>
            <w:tcW w:w="1042" w:type="dxa"/>
            <w:noWrap/>
          </w:tcPr>
          <w:p w14:paraId="4446BD7E" w14:textId="0F9C3174"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6</w:t>
            </w:r>
          </w:p>
        </w:tc>
        <w:tc>
          <w:tcPr>
            <w:tcW w:w="1290" w:type="dxa"/>
            <w:noWrap/>
          </w:tcPr>
          <w:p w14:paraId="68E05254" w14:textId="7621F5DF"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$6,795,624 </w:t>
            </w:r>
          </w:p>
        </w:tc>
        <w:tc>
          <w:tcPr>
            <w:tcW w:w="1260" w:type="dxa"/>
            <w:noWrap/>
          </w:tcPr>
          <w:p w14:paraId="00C34C44" w14:textId="0FE257D6"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$1,274,356 </w:t>
            </w:r>
          </w:p>
        </w:tc>
        <w:tc>
          <w:tcPr>
            <w:tcW w:w="1042" w:type="dxa"/>
            <w:noWrap/>
          </w:tcPr>
          <w:p w14:paraId="5F5187D2" w14:textId="79506EE7"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18.8%</w:t>
            </w:r>
          </w:p>
        </w:tc>
        <w:tc>
          <w:tcPr>
            <w:tcW w:w="1248" w:type="dxa"/>
            <w:noWrap/>
          </w:tcPr>
          <w:p w14:paraId="55D46931" w14:textId="1DBB7CAC"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$4,637,970 </w:t>
            </w:r>
          </w:p>
        </w:tc>
        <w:tc>
          <w:tcPr>
            <w:tcW w:w="1174" w:type="dxa"/>
            <w:noWrap/>
          </w:tcPr>
          <w:p w14:paraId="50D4634D" w14:textId="3CAA8390"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$1,361,279 </w:t>
            </w:r>
          </w:p>
        </w:tc>
        <w:tc>
          <w:tcPr>
            <w:tcW w:w="1121" w:type="dxa"/>
            <w:noWrap/>
          </w:tcPr>
          <w:p w14:paraId="7EF26D64" w14:textId="7486042D"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29.4%</w:t>
            </w:r>
          </w:p>
        </w:tc>
      </w:tr>
      <w:tr w:rsidR="00503D76" w:rsidRPr="00F51ACF" w14:paraId="08A201EB" w14:textId="77777777" w:rsidTr="00503D76">
        <w:trPr>
          <w:trHeight w:val="290"/>
        </w:trPr>
        <w:tc>
          <w:tcPr>
            <w:tcW w:w="1893" w:type="dxa"/>
            <w:noWrap/>
          </w:tcPr>
          <w:p w14:paraId="148FFF39" w14:textId="545B1C85"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Lippert Brothers, Inc.</w:t>
            </w:r>
          </w:p>
        </w:tc>
        <w:tc>
          <w:tcPr>
            <w:tcW w:w="1042" w:type="dxa"/>
            <w:noWrap/>
          </w:tcPr>
          <w:p w14:paraId="733EF3B0" w14:textId="466202FE"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w:t>
            </w:r>
          </w:p>
        </w:tc>
        <w:tc>
          <w:tcPr>
            <w:tcW w:w="1290" w:type="dxa"/>
            <w:noWrap/>
          </w:tcPr>
          <w:p w14:paraId="511799CD" w14:textId="39199A99"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$2,321,000 </w:t>
            </w:r>
          </w:p>
        </w:tc>
        <w:tc>
          <w:tcPr>
            <w:tcW w:w="1260" w:type="dxa"/>
            <w:noWrap/>
          </w:tcPr>
          <w:p w14:paraId="117438D9" w14:textId="264CAEA2"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$285,000 </w:t>
            </w:r>
          </w:p>
        </w:tc>
        <w:tc>
          <w:tcPr>
            <w:tcW w:w="1042" w:type="dxa"/>
            <w:noWrap/>
          </w:tcPr>
          <w:p w14:paraId="32B59B79" w14:textId="66D44887"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12.3%</w:t>
            </w:r>
          </w:p>
        </w:tc>
        <w:tc>
          <w:tcPr>
            <w:tcW w:w="1248" w:type="dxa"/>
            <w:noWrap/>
          </w:tcPr>
          <w:p w14:paraId="7C1A4519" w14:textId="78EF4E69"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$2,122,396 </w:t>
            </w:r>
          </w:p>
        </w:tc>
        <w:tc>
          <w:tcPr>
            <w:tcW w:w="1174" w:type="dxa"/>
            <w:noWrap/>
          </w:tcPr>
          <w:p w14:paraId="16D9CF9D" w14:textId="0FA01D84"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$285,000 </w:t>
            </w:r>
          </w:p>
        </w:tc>
        <w:tc>
          <w:tcPr>
            <w:tcW w:w="1121" w:type="dxa"/>
            <w:noWrap/>
          </w:tcPr>
          <w:p w14:paraId="3CFE7381" w14:textId="0C98FEBD"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13.4%</w:t>
            </w:r>
          </w:p>
        </w:tc>
      </w:tr>
      <w:tr w:rsidR="00503D76" w:rsidRPr="00F51ACF" w14:paraId="5111AF43" w14:textId="77777777" w:rsidTr="00503D76">
        <w:trPr>
          <w:trHeight w:val="290"/>
        </w:trPr>
        <w:tc>
          <w:tcPr>
            <w:tcW w:w="1893" w:type="dxa"/>
            <w:noWrap/>
          </w:tcPr>
          <w:p w14:paraId="4A3056FB" w14:textId="64714B76"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Lowry Construction</w:t>
            </w:r>
          </w:p>
        </w:tc>
        <w:tc>
          <w:tcPr>
            <w:tcW w:w="1042" w:type="dxa"/>
            <w:noWrap/>
          </w:tcPr>
          <w:p w14:paraId="3B85C761" w14:textId="6968CD8C"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6</w:t>
            </w:r>
          </w:p>
        </w:tc>
        <w:tc>
          <w:tcPr>
            <w:tcW w:w="1290" w:type="dxa"/>
            <w:noWrap/>
          </w:tcPr>
          <w:p w14:paraId="163EB92B" w14:textId="74A27256"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$2,735,865 </w:t>
            </w:r>
          </w:p>
        </w:tc>
        <w:tc>
          <w:tcPr>
            <w:tcW w:w="1260" w:type="dxa"/>
            <w:noWrap/>
          </w:tcPr>
          <w:p w14:paraId="7F5273CB" w14:textId="17093E76"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$1,362,868 </w:t>
            </w:r>
          </w:p>
        </w:tc>
        <w:tc>
          <w:tcPr>
            <w:tcW w:w="1042" w:type="dxa"/>
            <w:noWrap/>
          </w:tcPr>
          <w:p w14:paraId="19313666" w14:textId="58ADFA06"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49.8%</w:t>
            </w:r>
          </w:p>
        </w:tc>
        <w:tc>
          <w:tcPr>
            <w:tcW w:w="1248" w:type="dxa"/>
            <w:noWrap/>
          </w:tcPr>
          <w:p w14:paraId="1000A014" w14:textId="255DAB1F"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$2,780,363 </w:t>
            </w:r>
          </w:p>
        </w:tc>
        <w:tc>
          <w:tcPr>
            <w:tcW w:w="1174" w:type="dxa"/>
            <w:noWrap/>
          </w:tcPr>
          <w:p w14:paraId="0309DB83" w14:textId="157A902B"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$1,813,287 </w:t>
            </w:r>
          </w:p>
        </w:tc>
        <w:tc>
          <w:tcPr>
            <w:tcW w:w="1121" w:type="dxa"/>
            <w:noWrap/>
          </w:tcPr>
          <w:p w14:paraId="2C36E591" w14:textId="19F9752D"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65.2%</w:t>
            </w:r>
          </w:p>
        </w:tc>
      </w:tr>
      <w:tr w:rsidR="00503D76" w:rsidRPr="00F51ACF" w14:paraId="722580DD" w14:textId="77777777" w:rsidTr="00503D76">
        <w:trPr>
          <w:trHeight w:val="290"/>
        </w:trPr>
        <w:tc>
          <w:tcPr>
            <w:tcW w:w="1893" w:type="dxa"/>
            <w:noWrap/>
          </w:tcPr>
          <w:p w14:paraId="2E7D880A" w14:textId="1210F1A1"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Magnum Construction</w:t>
            </w:r>
          </w:p>
        </w:tc>
        <w:tc>
          <w:tcPr>
            <w:tcW w:w="1042" w:type="dxa"/>
            <w:noWrap/>
          </w:tcPr>
          <w:p w14:paraId="20D8B449" w14:textId="2F125C65"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3</w:t>
            </w:r>
          </w:p>
        </w:tc>
        <w:tc>
          <w:tcPr>
            <w:tcW w:w="1290" w:type="dxa"/>
            <w:noWrap/>
          </w:tcPr>
          <w:p w14:paraId="34892764" w14:textId="6E6F5D4A"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$2,492,273 </w:t>
            </w:r>
          </w:p>
        </w:tc>
        <w:tc>
          <w:tcPr>
            <w:tcW w:w="1260" w:type="dxa"/>
            <w:noWrap/>
          </w:tcPr>
          <w:p w14:paraId="0CB8FD20" w14:textId="415ACE7A"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$348,307 </w:t>
            </w:r>
          </w:p>
        </w:tc>
        <w:tc>
          <w:tcPr>
            <w:tcW w:w="1042" w:type="dxa"/>
            <w:noWrap/>
          </w:tcPr>
          <w:p w14:paraId="2FD36747" w14:textId="53AFFC0E"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14.0%</w:t>
            </w:r>
          </w:p>
        </w:tc>
        <w:tc>
          <w:tcPr>
            <w:tcW w:w="1248" w:type="dxa"/>
            <w:noWrap/>
          </w:tcPr>
          <w:p w14:paraId="5C2DE08A" w14:textId="216587D8"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$2,547,032 </w:t>
            </w:r>
          </w:p>
        </w:tc>
        <w:tc>
          <w:tcPr>
            <w:tcW w:w="1174" w:type="dxa"/>
            <w:noWrap/>
          </w:tcPr>
          <w:p w14:paraId="670BEE7D" w14:textId="4F192C61"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$505,430 </w:t>
            </w:r>
          </w:p>
        </w:tc>
        <w:tc>
          <w:tcPr>
            <w:tcW w:w="1121" w:type="dxa"/>
            <w:noWrap/>
          </w:tcPr>
          <w:p w14:paraId="4FC921E0" w14:textId="13C866F3"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19.8%</w:t>
            </w:r>
          </w:p>
        </w:tc>
      </w:tr>
      <w:tr w:rsidR="00503D76" w:rsidRPr="00F51ACF" w14:paraId="54CEA102" w14:textId="77777777" w:rsidTr="00503D76">
        <w:trPr>
          <w:trHeight w:val="290"/>
        </w:trPr>
        <w:tc>
          <w:tcPr>
            <w:tcW w:w="1893" w:type="dxa"/>
            <w:noWrap/>
          </w:tcPr>
          <w:p w14:paraId="23CD8D1B" w14:textId="0A22265D"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Southeast Tulsa Construction</w:t>
            </w:r>
          </w:p>
        </w:tc>
        <w:tc>
          <w:tcPr>
            <w:tcW w:w="1042" w:type="dxa"/>
            <w:noWrap/>
          </w:tcPr>
          <w:p w14:paraId="1FAB112A" w14:textId="5B266618"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4</w:t>
            </w:r>
          </w:p>
        </w:tc>
        <w:tc>
          <w:tcPr>
            <w:tcW w:w="1290" w:type="dxa"/>
            <w:noWrap/>
          </w:tcPr>
          <w:p w14:paraId="00BE2F42" w14:textId="6B279C47"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$1,804,106 </w:t>
            </w:r>
          </w:p>
        </w:tc>
        <w:tc>
          <w:tcPr>
            <w:tcW w:w="1260" w:type="dxa"/>
            <w:noWrap/>
          </w:tcPr>
          <w:p w14:paraId="1B27B6E5" w14:textId="69A34FC5"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$786,597 </w:t>
            </w:r>
          </w:p>
        </w:tc>
        <w:tc>
          <w:tcPr>
            <w:tcW w:w="1042" w:type="dxa"/>
            <w:noWrap/>
          </w:tcPr>
          <w:p w14:paraId="5DA02058" w14:textId="39381BB3"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43.6%</w:t>
            </w:r>
          </w:p>
        </w:tc>
        <w:tc>
          <w:tcPr>
            <w:tcW w:w="1248" w:type="dxa"/>
            <w:noWrap/>
          </w:tcPr>
          <w:p w14:paraId="6305BB4D" w14:textId="388B616B"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$2,264,301 </w:t>
            </w:r>
          </w:p>
        </w:tc>
        <w:tc>
          <w:tcPr>
            <w:tcW w:w="1174" w:type="dxa"/>
            <w:noWrap/>
          </w:tcPr>
          <w:p w14:paraId="6DEF6DB5" w14:textId="562512F9"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$739,895 </w:t>
            </w:r>
          </w:p>
        </w:tc>
        <w:tc>
          <w:tcPr>
            <w:tcW w:w="1121" w:type="dxa"/>
            <w:noWrap/>
          </w:tcPr>
          <w:p w14:paraId="1550B8CF" w14:textId="6755B0C6"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32.7%</w:t>
            </w:r>
          </w:p>
        </w:tc>
      </w:tr>
      <w:tr w:rsidR="00503D76" w:rsidRPr="00F51ACF" w14:paraId="72833AAD" w14:textId="77777777" w:rsidTr="00503D76">
        <w:trPr>
          <w:trHeight w:val="290"/>
        </w:trPr>
        <w:tc>
          <w:tcPr>
            <w:tcW w:w="1893" w:type="dxa"/>
            <w:noWrap/>
          </w:tcPr>
          <w:p w14:paraId="1603B254" w14:textId="5D6B7F5C"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Tri-Star Construction</w:t>
            </w:r>
          </w:p>
        </w:tc>
        <w:tc>
          <w:tcPr>
            <w:tcW w:w="1042" w:type="dxa"/>
            <w:noWrap/>
          </w:tcPr>
          <w:p w14:paraId="26DD09DF" w14:textId="0001C7B0"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1</w:t>
            </w:r>
          </w:p>
        </w:tc>
        <w:tc>
          <w:tcPr>
            <w:tcW w:w="1290" w:type="dxa"/>
            <w:noWrap/>
          </w:tcPr>
          <w:p w14:paraId="08D08330" w14:textId="5F56678E"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$4,777,787 </w:t>
            </w:r>
          </w:p>
        </w:tc>
        <w:tc>
          <w:tcPr>
            <w:tcW w:w="1260" w:type="dxa"/>
            <w:noWrap/>
          </w:tcPr>
          <w:p w14:paraId="42456D61" w14:textId="10CF8A68"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$163,064 </w:t>
            </w:r>
          </w:p>
        </w:tc>
        <w:tc>
          <w:tcPr>
            <w:tcW w:w="1042" w:type="dxa"/>
            <w:noWrap/>
          </w:tcPr>
          <w:p w14:paraId="7C81EAC4" w14:textId="04FD74A1"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3.4%</w:t>
            </w:r>
          </w:p>
        </w:tc>
        <w:tc>
          <w:tcPr>
            <w:tcW w:w="1248" w:type="dxa"/>
            <w:noWrap/>
          </w:tcPr>
          <w:p w14:paraId="1F185AD0" w14:textId="0A6FE47C"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$5,383,779 </w:t>
            </w:r>
          </w:p>
        </w:tc>
        <w:tc>
          <w:tcPr>
            <w:tcW w:w="1174" w:type="dxa"/>
            <w:noWrap/>
          </w:tcPr>
          <w:p w14:paraId="0460AFEA" w14:textId="019D3208"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$475,248 </w:t>
            </w:r>
          </w:p>
        </w:tc>
        <w:tc>
          <w:tcPr>
            <w:tcW w:w="1121" w:type="dxa"/>
            <w:noWrap/>
          </w:tcPr>
          <w:p w14:paraId="0C494907" w14:textId="06950D3D"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8.8%</w:t>
            </w:r>
          </w:p>
        </w:tc>
      </w:tr>
      <w:tr w:rsidR="00503D76" w:rsidRPr="00F51ACF" w14:paraId="04E0637A" w14:textId="77777777" w:rsidTr="00503D76">
        <w:trPr>
          <w:trHeight w:val="290"/>
        </w:trPr>
        <w:tc>
          <w:tcPr>
            <w:tcW w:w="1893" w:type="dxa"/>
            <w:noWrap/>
          </w:tcPr>
          <w:p w14:paraId="2F6EF456" w14:textId="1F2996B5"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Vance Brothers</w:t>
            </w:r>
          </w:p>
        </w:tc>
        <w:tc>
          <w:tcPr>
            <w:tcW w:w="1042" w:type="dxa"/>
            <w:noWrap/>
          </w:tcPr>
          <w:p w14:paraId="4EA059E3" w14:textId="19876FE9"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6</w:t>
            </w:r>
          </w:p>
        </w:tc>
        <w:tc>
          <w:tcPr>
            <w:tcW w:w="1290" w:type="dxa"/>
            <w:noWrap/>
          </w:tcPr>
          <w:p w14:paraId="78A540B7" w14:textId="7BDD0323"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$3,809,450 </w:t>
            </w:r>
          </w:p>
        </w:tc>
        <w:tc>
          <w:tcPr>
            <w:tcW w:w="1260" w:type="dxa"/>
            <w:noWrap/>
          </w:tcPr>
          <w:p w14:paraId="76B091DB" w14:textId="68CE54D4"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$197,406 </w:t>
            </w:r>
          </w:p>
        </w:tc>
        <w:tc>
          <w:tcPr>
            <w:tcW w:w="1042" w:type="dxa"/>
            <w:noWrap/>
          </w:tcPr>
          <w:p w14:paraId="6ED8759E" w14:textId="4E993C08"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5.2%</w:t>
            </w:r>
          </w:p>
        </w:tc>
        <w:tc>
          <w:tcPr>
            <w:tcW w:w="1248" w:type="dxa"/>
            <w:noWrap/>
          </w:tcPr>
          <w:p w14:paraId="0125205E" w14:textId="67A0D1C6"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$3,425,747 </w:t>
            </w:r>
          </w:p>
        </w:tc>
        <w:tc>
          <w:tcPr>
            <w:tcW w:w="1174" w:type="dxa"/>
            <w:noWrap/>
          </w:tcPr>
          <w:p w14:paraId="08577445" w14:textId="1F9C9517"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$165,031 </w:t>
            </w:r>
          </w:p>
        </w:tc>
        <w:tc>
          <w:tcPr>
            <w:tcW w:w="1121" w:type="dxa"/>
            <w:noWrap/>
          </w:tcPr>
          <w:p w14:paraId="1E141E70" w14:textId="55104602"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4.8%</w:t>
            </w:r>
          </w:p>
        </w:tc>
      </w:tr>
      <w:tr w:rsidR="00503D76" w:rsidRPr="00F51ACF" w14:paraId="414538FF" w14:textId="77777777" w:rsidTr="00503D76">
        <w:trPr>
          <w:trHeight w:val="290"/>
        </w:trPr>
        <w:tc>
          <w:tcPr>
            <w:tcW w:w="1893" w:type="dxa"/>
            <w:noWrap/>
          </w:tcPr>
          <w:p w14:paraId="2F5504AB" w14:textId="6C5A8C79"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Voy Construction</w:t>
            </w:r>
          </w:p>
        </w:tc>
        <w:tc>
          <w:tcPr>
            <w:tcW w:w="1042" w:type="dxa"/>
            <w:noWrap/>
          </w:tcPr>
          <w:p w14:paraId="6BA0DEEF" w14:textId="68CBDE50"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3</w:t>
            </w:r>
          </w:p>
        </w:tc>
        <w:tc>
          <w:tcPr>
            <w:tcW w:w="1290" w:type="dxa"/>
            <w:noWrap/>
          </w:tcPr>
          <w:p w14:paraId="159571F9" w14:textId="701C93AD"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$4,081,110 </w:t>
            </w:r>
          </w:p>
        </w:tc>
        <w:tc>
          <w:tcPr>
            <w:tcW w:w="1260" w:type="dxa"/>
            <w:noWrap/>
          </w:tcPr>
          <w:p w14:paraId="214211FC" w14:textId="135A5447"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$91,944 </w:t>
            </w:r>
          </w:p>
        </w:tc>
        <w:tc>
          <w:tcPr>
            <w:tcW w:w="1042" w:type="dxa"/>
            <w:noWrap/>
          </w:tcPr>
          <w:p w14:paraId="7EB8B0AF" w14:textId="0B5FE829"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2.3%</w:t>
            </w:r>
          </w:p>
        </w:tc>
        <w:tc>
          <w:tcPr>
            <w:tcW w:w="1248" w:type="dxa"/>
            <w:noWrap/>
          </w:tcPr>
          <w:p w14:paraId="0E5F1600" w14:textId="795A217E"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$3,954,574 </w:t>
            </w:r>
          </w:p>
        </w:tc>
        <w:tc>
          <w:tcPr>
            <w:tcW w:w="1174" w:type="dxa"/>
            <w:noWrap/>
          </w:tcPr>
          <w:p w14:paraId="70DBAB2E" w14:textId="11C3CC3F"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$30,207 </w:t>
            </w:r>
          </w:p>
        </w:tc>
        <w:tc>
          <w:tcPr>
            <w:tcW w:w="1121" w:type="dxa"/>
            <w:noWrap/>
          </w:tcPr>
          <w:p w14:paraId="3642F1DB" w14:textId="1F7F4EE7"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0.8%</w:t>
            </w:r>
          </w:p>
        </w:tc>
      </w:tr>
      <w:tr w:rsidR="00503D76" w:rsidRPr="00F51ACF" w14:paraId="3D9FE774" w14:textId="77777777" w:rsidTr="00503D76">
        <w:trPr>
          <w:cnfStyle w:val="010000000000" w:firstRow="0" w:lastRow="1" w:firstColumn="0" w:lastColumn="0" w:oddVBand="0" w:evenVBand="0" w:oddHBand="0" w:evenHBand="0" w:firstRowFirstColumn="0" w:firstRowLastColumn="0" w:lastRowFirstColumn="0" w:lastRowLastColumn="0"/>
          <w:trHeight w:val="290"/>
        </w:trPr>
        <w:tc>
          <w:tcPr>
            <w:tcW w:w="1893" w:type="dxa"/>
            <w:noWrap/>
          </w:tcPr>
          <w:p w14:paraId="630CE4F3" w14:textId="7A31111D" w:rsidR="00655123" w:rsidRPr="00655123" w:rsidRDefault="00655123" w:rsidP="00655123">
            <w:pPr>
              <w:spacing w:line="276" w:lineRule="auto"/>
              <w:rPr>
                <w:rFonts w:asciiTheme="majorHAnsi" w:hAnsiTheme="majorHAnsi" w:cstheme="majorHAnsi"/>
                <w:sz w:val="16"/>
                <w:szCs w:val="16"/>
              </w:rPr>
            </w:pPr>
            <w:r w:rsidRPr="00655123">
              <w:rPr>
                <w:rFonts w:asciiTheme="majorHAnsi" w:hAnsiTheme="majorHAnsi" w:cstheme="majorHAnsi"/>
                <w:sz w:val="16"/>
                <w:szCs w:val="16"/>
              </w:rPr>
              <w:t>Total</w:t>
            </w:r>
          </w:p>
        </w:tc>
        <w:tc>
          <w:tcPr>
            <w:tcW w:w="1042" w:type="dxa"/>
            <w:noWrap/>
          </w:tcPr>
          <w:p w14:paraId="00B82562" w14:textId="6B01FDAE" w:rsidR="00655123" w:rsidRPr="00655123" w:rsidRDefault="00655123" w:rsidP="00655123">
            <w:pPr>
              <w:spacing w:line="276" w:lineRule="auto"/>
              <w:jc w:val="center"/>
              <w:rPr>
                <w:rFonts w:asciiTheme="majorHAnsi" w:hAnsiTheme="majorHAnsi" w:cstheme="majorHAnsi"/>
                <w:sz w:val="16"/>
                <w:szCs w:val="16"/>
              </w:rPr>
            </w:pPr>
            <w:r w:rsidRPr="00655123">
              <w:rPr>
                <w:rFonts w:asciiTheme="majorHAnsi" w:hAnsiTheme="majorHAnsi" w:cstheme="majorHAnsi"/>
                <w:sz w:val="16"/>
                <w:szCs w:val="16"/>
              </w:rPr>
              <w:t>78</w:t>
            </w:r>
          </w:p>
        </w:tc>
        <w:tc>
          <w:tcPr>
            <w:tcW w:w="1290" w:type="dxa"/>
            <w:noWrap/>
          </w:tcPr>
          <w:p w14:paraId="337ED1AE" w14:textId="466DECD4"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$107,230,015 </w:t>
            </w:r>
          </w:p>
        </w:tc>
        <w:tc>
          <w:tcPr>
            <w:tcW w:w="1260" w:type="dxa"/>
            <w:noWrap/>
          </w:tcPr>
          <w:p w14:paraId="233ED914" w14:textId="02235B29"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$13,142,463 </w:t>
            </w:r>
          </w:p>
        </w:tc>
        <w:tc>
          <w:tcPr>
            <w:tcW w:w="1042" w:type="dxa"/>
            <w:noWrap/>
          </w:tcPr>
          <w:p w14:paraId="3D1AA394" w14:textId="216CD4B7" w:rsidR="00655123" w:rsidRPr="00655123" w:rsidRDefault="00655123" w:rsidP="00655123">
            <w:pPr>
              <w:spacing w:line="276" w:lineRule="auto"/>
              <w:jc w:val="center"/>
              <w:rPr>
                <w:rFonts w:asciiTheme="majorHAnsi" w:hAnsiTheme="majorHAnsi" w:cstheme="majorHAnsi"/>
                <w:color w:val="000000"/>
                <w:sz w:val="16"/>
                <w:szCs w:val="16"/>
              </w:rPr>
            </w:pPr>
            <w:r w:rsidRPr="00655123">
              <w:rPr>
                <w:rFonts w:asciiTheme="majorHAnsi" w:hAnsiTheme="majorHAnsi" w:cstheme="majorHAnsi"/>
                <w:sz w:val="16"/>
                <w:szCs w:val="16"/>
              </w:rPr>
              <w:t>12.3%</w:t>
            </w:r>
          </w:p>
        </w:tc>
        <w:tc>
          <w:tcPr>
            <w:tcW w:w="1248" w:type="dxa"/>
            <w:noWrap/>
          </w:tcPr>
          <w:p w14:paraId="420235A7" w14:textId="67293963"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$114,241,403 </w:t>
            </w:r>
          </w:p>
        </w:tc>
        <w:tc>
          <w:tcPr>
            <w:tcW w:w="1174" w:type="dxa"/>
            <w:noWrap/>
          </w:tcPr>
          <w:p w14:paraId="69D11165" w14:textId="338B71B1" w:rsidR="00655123" w:rsidRPr="00655123" w:rsidRDefault="00655123" w:rsidP="00655123">
            <w:pPr>
              <w:spacing w:line="276" w:lineRule="auto"/>
              <w:jc w:val="right"/>
              <w:rPr>
                <w:rFonts w:asciiTheme="majorHAnsi" w:hAnsiTheme="majorHAnsi" w:cstheme="majorHAnsi"/>
                <w:sz w:val="16"/>
                <w:szCs w:val="16"/>
              </w:rPr>
            </w:pPr>
            <w:r w:rsidRPr="00655123">
              <w:rPr>
                <w:rFonts w:asciiTheme="majorHAnsi" w:hAnsiTheme="majorHAnsi" w:cstheme="majorHAnsi"/>
                <w:sz w:val="16"/>
                <w:szCs w:val="16"/>
              </w:rPr>
              <w:t xml:space="preserve"> $14,958,137 </w:t>
            </w:r>
          </w:p>
        </w:tc>
        <w:tc>
          <w:tcPr>
            <w:tcW w:w="1121" w:type="dxa"/>
            <w:noWrap/>
          </w:tcPr>
          <w:p w14:paraId="149545B5" w14:textId="07956E44" w:rsidR="00655123" w:rsidRPr="00655123" w:rsidRDefault="00655123" w:rsidP="00655123">
            <w:pPr>
              <w:spacing w:line="276" w:lineRule="auto"/>
              <w:jc w:val="center"/>
              <w:rPr>
                <w:rFonts w:asciiTheme="majorHAnsi" w:hAnsiTheme="majorHAnsi" w:cstheme="majorHAnsi"/>
                <w:color w:val="000000"/>
                <w:sz w:val="16"/>
                <w:szCs w:val="16"/>
              </w:rPr>
            </w:pPr>
            <w:r w:rsidRPr="00655123">
              <w:rPr>
                <w:rFonts w:asciiTheme="majorHAnsi" w:hAnsiTheme="majorHAnsi" w:cstheme="majorHAnsi"/>
                <w:sz w:val="16"/>
                <w:szCs w:val="16"/>
              </w:rPr>
              <w:t>13.1%</w:t>
            </w:r>
          </w:p>
        </w:tc>
      </w:tr>
    </w:tbl>
    <w:p w14:paraId="42352C32" w14:textId="77777777" w:rsidR="00763D6F" w:rsidRPr="00D21714" w:rsidRDefault="00763D6F" w:rsidP="5647B939">
      <w:pPr>
        <w:spacing w:line="276" w:lineRule="auto"/>
      </w:pPr>
    </w:p>
    <w:p w14:paraId="6E442085" w14:textId="77777777" w:rsidR="00555F00" w:rsidRDefault="00555F00" w:rsidP="5647B939">
      <w:pPr>
        <w:pStyle w:val="Heading2"/>
        <w:spacing w:line="276" w:lineRule="auto"/>
      </w:pPr>
      <w:bookmarkStart w:id="1" w:name="_Hlk81993428"/>
      <w:r>
        <w:t xml:space="preserve">Expenses by Small Business Enterprise </w:t>
      </w:r>
    </w:p>
    <w:bookmarkEnd w:id="1"/>
    <w:p w14:paraId="46A07D49" w14:textId="77777777" w:rsidR="004932A3" w:rsidRDefault="004932A3" w:rsidP="5647B939">
      <w:pPr>
        <w:spacing w:line="276" w:lineRule="auto"/>
      </w:pPr>
    </w:p>
    <w:p w14:paraId="05258D98" w14:textId="1A229426" w:rsidR="00C80287" w:rsidRDefault="008A5CBB" w:rsidP="5647B939">
      <w:pPr>
        <w:spacing w:line="276" w:lineRule="auto"/>
      </w:pPr>
      <w:proofErr w:type="spellStart"/>
      <w:r>
        <w:t>Fourty</w:t>
      </w:r>
      <w:proofErr w:type="spellEnd"/>
      <w:r w:rsidR="00C70309">
        <w:t xml:space="preserve"> </w:t>
      </w:r>
      <w:r w:rsidR="00F86D4B">
        <w:t>different firms received the total $</w:t>
      </w:r>
      <w:r w:rsidR="0042683C">
        <w:t>1</w:t>
      </w:r>
      <w:r w:rsidR="001C5AE9">
        <w:t>5</w:t>
      </w:r>
      <w:r w:rsidR="00F86D4B">
        <w:t xml:space="preserve"> million by working as SBEs on completed City projects. Expenses were concentrated amongst a small number of firms. </w:t>
      </w:r>
      <w:r w:rsidR="0035259B">
        <w:t>Four</w:t>
      </w:r>
      <w:r w:rsidR="00F86D4B">
        <w:t xml:space="preserve"> firms received </w:t>
      </w:r>
      <w:r w:rsidR="0035259B">
        <w:t>half</w:t>
      </w:r>
      <w:r w:rsidR="00F86D4B">
        <w:t xml:space="preserve"> of the $</w:t>
      </w:r>
      <w:r w:rsidR="00765C16">
        <w:t>1</w:t>
      </w:r>
      <w:r w:rsidR="00B762FF">
        <w:t>5</w:t>
      </w:r>
      <w:r w:rsidR="0035259B">
        <w:t xml:space="preserve"> </w:t>
      </w:r>
      <w:r w:rsidR="00F86D4B">
        <w:t xml:space="preserve">million, and </w:t>
      </w:r>
      <w:r w:rsidR="00CD39FD">
        <w:t>nine</w:t>
      </w:r>
      <w:r w:rsidR="00F86D4B">
        <w:t xml:space="preserve"> firms represented </w:t>
      </w:r>
      <w:r w:rsidR="00A66CA1">
        <w:t>over three-quarters</w:t>
      </w:r>
      <w:r w:rsidR="00F86D4B">
        <w:t xml:space="preserve"> of all expenses. The </w:t>
      </w:r>
      <w:r w:rsidR="0035259B">
        <w:t>twenty</w:t>
      </w:r>
      <w:r>
        <w:t>-three</w:t>
      </w:r>
      <w:r w:rsidR="00F86D4B">
        <w:t xml:space="preserve"> firms with the smallest amounts received through SBE subcontracting received $</w:t>
      </w:r>
      <w:r>
        <w:t>1.06 million</w:t>
      </w:r>
      <w:r w:rsidR="00F86D4B">
        <w:t xml:space="preserve">, </w:t>
      </w:r>
      <w:r w:rsidR="00F22647">
        <w:t>6.7</w:t>
      </w:r>
      <w:r w:rsidR="00F86D4B">
        <w:t xml:space="preserve"> percent of all expenses. </w:t>
      </w:r>
      <w:r w:rsidR="004F5F18">
        <w:t xml:space="preserve">It should be noted that </w:t>
      </w:r>
      <w:r w:rsidR="00F86D4B">
        <w:t>Table 5 below shows a summary of expenses by SBE. Appendix B shows the full list of all SBEs including all twenty-</w:t>
      </w:r>
      <w:r>
        <w:t>three</w:t>
      </w:r>
      <w:r w:rsidR="00F86D4B">
        <w:t xml:space="preserve"> firms in the </w:t>
      </w:r>
      <w:proofErr w:type="gramStart"/>
      <w:r w:rsidR="00F86D4B">
        <w:t>Other</w:t>
      </w:r>
      <w:proofErr w:type="gramEnd"/>
      <w:r w:rsidR="00F86D4B">
        <w:t xml:space="preserve"> category.</w:t>
      </w:r>
    </w:p>
    <w:p w14:paraId="1B35A1CD" w14:textId="2D506CC2" w:rsidR="00834528" w:rsidRDefault="00834528" w:rsidP="5647B939">
      <w:pPr>
        <w:spacing w:line="276" w:lineRule="auto"/>
        <w:rPr>
          <w:i/>
          <w:iCs/>
        </w:rPr>
      </w:pPr>
    </w:p>
    <w:p w14:paraId="01692339" w14:textId="397905E4" w:rsidR="008A5CBB" w:rsidRDefault="008A5CBB" w:rsidP="5647B939">
      <w:pPr>
        <w:spacing w:line="276" w:lineRule="auto"/>
        <w:rPr>
          <w:i/>
          <w:iCs/>
        </w:rPr>
      </w:pPr>
    </w:p>
    <w:p w14:paraId="72E3E0E8" w14:textId="2B380ADC" w:rsidR="008A5CBB" w:rsidRDefault="008A5CBB" w:rsidP="5647B939">
      <w:pPr>
        <w:spacing w:line="276" w:lineRule="auto"/>
        <w:rPr>
          <w:i/>
          <w:iCs/>
        </w:rPr>
      </w:pPr>
    </w:p>
    <w:p w14:paraId="20056706" w14:textId="77777777" w:rsidR="008A5CBB" w:rsidRDefault="008A5CBB" w:rsidP="5647B939">
      <w:pPr>
        <w:spacing w:line="276" w:lineRule="auto"/>
        <w:rPr>
          <w:i/>
          <w:iCs/>
        </w:rPr>
      </w:pPr>
    </w:p>
    <w:p w14:paraId="51FD4774" w14:textId="58FA73B4" w:rsidR="00D21714" w:rsidRDefault="00D21714" w:rsidP="5647B939">
      <w:pPr>
        <w:spacing w:line="276" w:lineRule="auto"/>
        <w:rPr>
          <w:i/>
          <w:iCs/>
        </w:rPr>
      </w:pPr>
      <w:r w:rsidRPr="5647B939">
        <w:rPr>
          <w:i/>
          <w:iCs/>
        </w:rPr>
        <w:lastRenderedPageBreak/>
        <w:t>Table 5. Expenses by Small Business Enterprise</w:t>
      </w:r>
    </w:p>
    <w:tbl>
      <w:tblPr>
        <w:tblStyle w:val="GridTable4-Accent1"/>
        <w:tblW w:w="7393" w:type="dxa"/>
        <w:tblLook w:val="0660" w:firstRow="1" w:lastRow="1" w:firstColumn="0" w:lastColumn="0" w:noHBand="1" w:noVBand="1"/>
      </w:tblPr>
      <w:tblGrid>
        <w:gridCol w:w="2127"/>
        <w:gridCol w:w="1113"/>
        <w:gridCol w:w="1440"/>
        <w:gridCol w:w="1440"/>
        <w:gridCol w:w="1273"/>
      </w:tblGrid>
      <w:tr w:rsidR="009B390F" w:rsidRPr="00CD214A" w14:paraId="7D41C3EF" w14:textId="77777777" w:rsidTr="00D733E3">
        <w:trPr>
          <w:cnfStyle w:val="100000000000" w:firstRow="1" w:lastRow="0" w:firstColumn="0" w:lastColumn="0" w:oddVBand="0" w:evenVBand="0" w:oddHBand="0" w:evenHBand="0" w:firstRowFirstColumn="0" w:firstRowLastColumn="0" w:lastRowFirstColumn="0" w:lastRowLastColumn="0"/>
          <w:trHeight w:val="230"/>
        </w:trPr>
        <w:tc>
          <w:tcPr>
            <w:tcW w:w="0" w:type="auto"/>
            <w:hideMark/>
          </w:tcPr>
          <w:p w14:paraId="4604AE19" w14:textId="77777777" w:rsidR="009B390F" w:rsidRPr="009B390F" w:rsidRDefault="009B390F" w:rsidP="009B390F">
            <w:pPr>
              <w:spacing w:line="240" w:lineRule="auto"/>
              <w:rPr>
                <w:rFonts w:asciiTheme="majorHAnsi" w:eastAsia="Times New Roman" w:hAnsiTheme="majorHAnsi" w:cstheme="majorHAnsi"/>
                <w:color w:val="FFFFFF"/>
                <w:sz w:val="18"/>
                <w:szCs w:val="18"/>
              </w:rPr>
            </w:pPr>
            <w:r w:rsidRPr="009B390F">
              <w:rPr>
                <w:rFonts w:asciiTheme="majorHAnsi" w:eastAsia="Times New Roman" w:hAnsiTheme="majorHAnsi" w:cstheme="majorHAnsi"/>
                <w:color w:val="FFFFFF"/>
                <w:sz w:val="18"/>
                <w:szCs w:val="18"/>
              </w:rPr>
              <w:t>SBE Contractor</w:t>
            </w:r>
          </w:p>
        </w:tc>
        <w:tc>
          <w:tcPr>
            <w:tcW w:w="1113" w:type="dxa"/>
            <w:noWrap/>
            <w:hideMark/>
          </w:tcPr>
          <w:p w14:paraId="3C97D451" w14:textId="77777777" w:rsidR="009B390F" w:rsidRPr="009B390F" w:rsidRDefault="009B390F" w:rsidP="00CD214A">
            <w:pPr>
              <w:spacing w:line="240" w:lineRule="auto"/>
              <w:jc w:val="center"/>
              <w:rPr>
                <w:rFonts w:asciiTheme="majorHAnsi" w:eastAsia="Times New Roman" w:hAnsiTheme="majorHAnsi" w:cstheme="majorHAnsi"/>
                <w:color w:val="FFFFFF"/>
                <w:sz w:val="18"/>
                <w:szCs w:val="18"/>
              </w:rPr>
            </w:pPr>
            <w:r w:rsidRPr="009B390F">
              <w:rPr>
                <w:rFonts w:asciiTheme="majorHAnsi" w:eastAsia="Times New Roman" w:hAnsiTheme="majorHAnsi" w:cstheme="majorHAnsi"/>
                <w:color w:val="FFFFFF"/>
                <w:sz w:val="18"/>
                <w:szCs w:val="18"/>
              </w:rPr>
              <w:t>No. of Projects</w:t>
            </w:r>
          </w:p>
        </w:tc>
        <w:tc>
          <w:tcPr>
            <w:tcW w:w="1440" w:type="dxa"/>
            <w:hideMark/>
          </w:tcPr>
          <w:p w14:paraId="27B8FC19" w14:textId="77777777" w:rsidR="009B390F" w:rsidRPr="009B390F" w:rsidRDefault="009B390F" w:rsidP="00CD214A">
            <w:pPr>
              <w:spacing w:line="240" w:lineRule="auto"/>
              <w:jc w:val="center"/>
              <w:rPr>
                <w:rFonts w:asciiTheme="majorHAnsi" w:eastAsia="Times New Roman" w:hAnsiTheme="majorHAnsi" w:cstheme="majorHAnsi"/>
                <w:color w:val="FFFFFF"/>
                <w:sz w:val="18"/>
                <w:szCs w:val="18"/>
              </w:rPr>
            </w:pPr>
            <w:r w:rsidRPr="009B390F">
              <w:rPr>
                <w:rFonts w:asciiTheme="majorHAnsi" w:eastAsia="Times New Roman" w:hAnsiTheme="majorHAnsi" w:cstheme="majorHAnsi"/>
                <w:color w:val="FFFFFF"/>
                <w:sz w:val="18"/>
                <w:szCs w:val="18"/>
              </w:rPr>
              <w:t>Projected Amt</w:t>
            </w:r>
          </w:p>
        </w:tc>
        <w:tc>
          <w:tcPr>
            <w:tcW w:w="1440" w:type="dxa"/>
            <w:hideMark/>
          </w:tcPr>
          <w:p w14:paraId="7EAC084C" w14:textId="77777777" w:rsidR="009B390F" w:rsidRPr="009B390F" w:rsidRDefault="009B390F" w:rsidP="00CD214A">
            <w:pPr>
              <w:spacing w:line="240" w:lineRule="auto"/>
              <w:jc w:val="center"/>
              <w:rPr>
                <w:rFonts w:asciiTheme="majorHAnsi" w:eastAsia="Times New Roman" w:hAnsiTheme="majorHAnsi" w:cstheme="majorHAnsi"/>
                <w:color w:val="FFFFFF"/>
                <w:sz w:val="18"/>
                <w:szCs w:val="18"/>
              </w:rPr>
            </w:pPr>
            <w:r w:rsidRPr="009B390F">
              <w:rPr>
                <w:rFonts w:asciiTheme="majorHAnsi" w:eastAsia="Times New Roman" w:hAnsiTheme="majorHAnsi" w:cstheme="majorHAnsi"/>
                <w:color w:val="FFFFFF"/>
                <w:sz w:val="18"/>
                <w:szCs w:val="18"/>
              </w:rPr>
              <w:t>Actual Amt</w:t>
            </w:r>
          </w:p>
        </w:tc>
        <w:tc>
          <w:tcPr>
            <w:tcW w:w="1273" w:type="dxa"/>
            <w:hideMark/>
          </w:tcPr>
          <w:p w14:paraId="28C734CF" w14:textId="77777777" w:rsidR="009B390F" w:rsidRPr="009B390F" w:rsidRDefault="009B390F" w:rsidP="00CD214A">
            <w:pPr>
              <w:spacing w:line="240" w:lineRule="auto"/>
              <w:jc w:val="center"/>
              <w:rPr>
                <w:rFonts w:asciiTheme="majorHAnsi" w:eastAsia="Times New Roman" w:hAnsiTheme="majorHAnsi" w:cstheme="majorHAnsi"/>
                <w:color w:val="FFFFFF"/>
                <w:sz w:val="18"/>
                <w:szCs w:val="18"/>
              </w:rPr>
            </w:pPr>
            <w:r w:rsidRPr="009B390F">
              <w:rPr>
                <w:rFonts w:asciiTheme="majorHAnsi" w:eastAsia="Times New Roman" w:hAnsiTheme="majorHAnsi" w:cstheme="majorHAnsi"/>
                <w:color w:val="FFFFFF"/>
                <w:sz w:val="18"/>
                <w:szCs w:val="18"/>
              </w:rPr>
              <w:t>Percent of Total</w:t>
            </w:r>
          </w:p>
        </w:tc>
      </w:tr>
      <w:tr w:rsidR="00CD214A" w:rsidRPr="00CD214A" w14:paraId="7423E4D0" w14:textId="77777777" w:rsidTr="00D733E3">
        <w:trPr>
          <w:trHeight w:val="230"/>
        </w:trPr>
        <w:tc>
          <w:tcPr>
            <w:tcW w:w="0" w:type="auto"/>
            <w:noWrap/>
            <w:hideMark/>
          </w:tcPr>
          <w:p w14:paraId="5F06A6C0"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Brown Co</w:t>
            </w:r>
          </w:p>
        </w:tc>
        <w:tc>
          <w:tcPr>
            <w:tcW w:w="1113" w:type="dxa"/>
            <w:noWrap/>
            <w:hideMark/>
          </w:tcPr>
          <w:p w14:paraId="1D380891"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30</w:t>
            </w:r>
          </w:p>
        </w:tc>
        <w:tc>
          <w:tcPr>
            <w:tcW w:w="1440" w:type="dxa"/>
            <w:noWrap/>
          </w:tcPr>
          <w:p w14:paraId="09AD5CF9" w14:textId="11C5C4C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$2,597,934 </w:t>
            </w:r>
          </w:p>
        </w:tc>
        <w:tc>
          <w:tcPr>
            <w:tcW w:w="1440" w:type="dxa"/>
            <w:noWrap/>
          </w:tcPr>
          <w:p w14:paraId="5AD47C12" w14:textId="6B1A1839"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$2,601,232 </w:t>
            </w:r>
          </w:p>
        </w:tc>
        <w:tc>
          <w:tcPr>
            <w:tcW w:w="1273" w:type="dxa"/>
            <w:noWrap/>
            <w:hideMark/>
          </w:tcPr>
          <w:p w14:paraId="24A8A08C"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17.4%</w:t>
            </w:r>
          </w:p>
        </w:tc>
      </w:tr>
      <w:tr w:rsidR="00CD214A" w:rsidRPr="00CD214A" w14:paraId="1F38EBB9" w14:textId="77777777" w:rsidTr="00D733E3">
        <w:trPr>
          <w:trHeight w:val="230"/>
        </w:trPr>
        <w:tc>
          <w:tcPr>
            <w:tcW w:w="0" w:type="auto"/>
            <w:noWrap/>
            <w:hideMark/>
          </w:tcPr>
          <w:p w14:paraId="200DE41E"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Sooner Recon</w:t>
            </w:r>
          </w:p>
        </w:tc>
        <w:tc>
          <w:tcPr>
            <w:tcW w:w="1113" w:type="dxa"/>
            <w:noWrap/>
            <w:hideMark/>
          </w:tcPr>
          <w:p w14:paraId="4FF523BF"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6</w:t>
            </w:r>
          </w:p>
        </w:tc>
        <w:tc>
          <w:tcPr>
            <w:tcW w:w="1440" w:type="dxa"/>
            <w:noWrap/>
          </w:tcPr>
          <w:p w14:paraId="0A692FDB" w14:textId="63202310"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$1,839,631 </w:t>
            </w:r>
          </w:p>
        </w:tc>
        <w:tc>
          <w:tcPr>
            <w:tcW w:w="1440" w:type="dxa"/>
            <w:noWrap/>
          </w:tcPr>
          <w:p w14:paraId="005D9365" w14:textId="62EE0D6E"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$1,997,079 </w:t>
            </w:r>
          </w:p>
        </w:tc>
        <w:tc>
          <w:tcPr>
            <w:tcW w:w="1273" w:type="dxa"/>
            <w:noWrap/>
            <w:hideMark/>
          </w:tcPr>
          <w:p w14:paraId="20EC2AF6"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13.4%</w:t>
            </w:r>
          </w:p>
        </w:tc>
      </w:tr>
      <w:tr w:rsidR="00CD214A" w:rsidRPr="00CD214A" w14:paraId="798280A7" w14:textId="77777777" w:rsidTr="00D733E3">
        <w:trPr>
          <w:trHeight w:val="230"/>
        </w:trPr>
        <w:tc>
          <w:tcPr>
            <w:tcW w:w="0" w:type="auto"/>
            <w:noWrap/>
            <w:hideMark/>
          </w:tcPr>
          <w:p w14:paraId="65B7DD97"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Mustang Trucking</w:t>
            </w:r>
          </w:p>
        </w:tc>
        <w:tc>
          <w:tcPr>
            <w:tcW w:w="1113" w:type="dxa"/>
            <w:noWrap/>
            <w:hideMark/>
          </w:tcPr>
          <w:p w14:paraId="59BCCB56"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25</w:t>
            </w:r>
          </w:p>
        </w:tc>
        <w:tc>
          <w:tcPr>
            <w:tcW w:w="1440" w:type="dxa"/>
            <w:noWrap/>
          </w:tcPr>
          <w:p w14:paraId="3AD18825" w14:textId="61860F06"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$1,149,052 </w:t>
            </w:r>
          </w:p>
        </w:tc>
        <w:tc>
          <w:tcPr>
            <w:tcW w:w="1440" w:type="dxa"/>
            <w:noWrap/>
          </w:tcPr>
          <w:p w14:paraId="1360CE7B" w14:textId="6EFB3FC1"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$1,603,364 </w:t>
            </w:r>
          </w:p>
        </w:tc>
        <w:tc>
          <w:tcPr>
            <w:tcW w:w="1273" w:type="dxa"/>
            <w:noWrap/>
            <w:hideMark/>
          </w:tcPr>
          <w:p w14:paraId="03DE12C3"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10.7%</w:t>
            </w:r>
          </w:p>
        </w:tc>
      </w:tr>
      <w:tr w:rsidR="008A5CBB" w:rsidRPr="00CD214A" w14:paraId="17384A12" w14:textId="77777777" w:rsidTr="00D733E3">
        <w:trPr>
          <w:trHeight w:val="230"/>
        </w:trPr>
        <w:tc>
          <w:tcPr>
            <w:tcW w:w="0" w:type="auto"/>
            <w:noWrap/>
          </w:tcPr>
          <w:p w14:paraId="6E2DCB35" w14:textId="06C5C419" w:rsidR="008A5CBB" w:rsidRPr="008A5CBB" w:rsidRDefault="008A5CBB" w:rsidP="008A5CBB">
            <w:pPr>
              <w:spacing w:line="240" w:lineRule="auto"/>
              <w:rPr>
                <w:rFonts w:asciiTheme="majorHAnsi" w:eastAsia="Times New Roman" w:hAnsiTheme="majorHAnsi" w:cstheme="majorHAnsi"/>
                <w:color w:val="000000"/>
                <w:sz w:val="18"/>
                <w:szCs w:val="18"/>
              </w:rPr>
            </w:pPr>
            <w:r w:rsidRPr="008A5CBB">
              <w:rPr>
                <w:sz w:val="18"/>
                <w:szCs w:val="18"/>
              </w:rPr>
              <w:t>D-Bar-T LLC</w:t>
            </w:r>
          </w:p>
        </w:tc>
        <w:tc>
          <w:tcPr>
            <w:tcW w:w="1113" w:type="dxa"/>
            <w:noWrap/>
          </w:tcPr>
          <w:p w14:paraId="6DD9A07E" w14:textId="6C0094DF" w:rsidR="008A5CBB" w:rsidRPr="008A5CBB" w:rsidRDefault="008A5CBB" w:rsidP="008A5CBB">
            <w:pPr>
              <w:spacing w:line="240" w:lineRule="auto"/>
              <w:jc w:val="right"/>
              <w:rPr>
                <w:rFonts w:asciiTheme="majorHAnsi" w:eastAsia="Times New Roman" w:hAnsiTheme="majorHAnsi" w:cstheme="majorHAnsi"/>
                <w:color w:val="000000"/>
                <w:sz w:val="18"/>
                <w:szCs w:val="18"/>
              </w:rPr>
            </w:pPr>
            <w:r w:rsidRPr="008A5CBB">
              <w:rPr>
                <w:sz w:val="18"/>
                <w:szCs w:val="18"/>
              </w:rPr>
              <w:t>20</w:t>
            </w:r>
          </w:p>
        </w:tc>
        <w:tc>
          <w:tcPr>
            <w:tcW w:w="1440" w:type="dxa"/>
            <w:noWrap/>
          </w:tcPr>
          <w:p w14:paraId="50EF05DF" w14:textId="6D5C2C24" w:rsidR="008A5CBB" w:rsidRPr="008A5CBB" w:rsidRDefault="008A5CBB" w:rsidP="008A5CBB">
            <w:pPr>
              <w:spacing w:line="240" w:lineRule="auto"/>
              <w:jc w:val="right"/>
              <w:rPr>
                <w:rFonts w:asciiTheme="majorHAnsi" w:hAnsiTheme="majorHAnsi" w:cstheme="majorHAnsi"/>
                <w:sz w:val="18"/>
                <w:szCs w:val="18"/>
              </w:rPr>
            </w:pPr>
            <w:r w:rsidRPr="008A5CBB">
              <w:rPr>
                <w:sz w:val="18"/>
                <w:szCs w:val="18"/>
              </w:rPr>
              <w:t xml:space="preserve"> $1,312,203</w:t>
            </w:r>
          </w:p>
        </w:tc>
        <w:tc>
          <w:tcPr>
            <w:tcW w:w="1440" w:type="dxa"/>
            <w:noWrap/>
          </w:tcPr>
          <w:p w14:paraId="7CC11ED7" w14:textId="0416481C" w:rsidR="008A5CBB" w:rsidRPr="008A5CBB" w:rsidRDefault="008A5CBB" w:rsidP="008A5CBB">
            <w:pPr>
              <w:spacing w:line="240" w:lineRule="auto"/>
              <w:jc w:val="right"/>
              <w:rPr>
                <w:rFonts w:asciiTheme="majorHAnsi" w:hAnsiTheme="majorHAnsi" w:cstheme="majorHAnsi"/>
                <w:sz w:val="18"/>
                <w:szCs w:val="18"/>
              </w:rPr>
            </w:pPr>
            <w:r w:rsidRPr="008A5CBB">
              <w:rPr>
                <w:sz w:val="18"/>
                <w:szCs w:val="18"/>
              </w:rPr>
              <w:t xml:space="preserve"> $1,327,578 </w:t>
            </w:r>
          </w:p>
        </w:tc>
        <w:tc>
          <w:tcPr>
            <w:tcW w:w="1273" w:type="dxa"/>
            <w:noWrap/>
          </w:tcPr>
          <w:p w14:paraId="17C90E5A" w14:textId="65D9045B" w:rsidR="008A5CBB" w:rsidRPr="008A5CBB" w:rsidRDefault="008A5CBB" w:rsidP="008A5CBB">
            <w:pPr>
              <w:spacing w:line="240" w:lineRule="auto"/>
              <w:jc w:val="right"/>
              <w:rPr>
                <w:rFonts w:asciiTheme="majorHAnsi" w:eastAsia="Times New Roman" w:hAnsiTheme="majorHAnsi" w:cstheme="majorHAnsi"/>
                <w:color w:val="000000"/>
                <w:sz w:val="18"/>
                <w:szCs w:val="18"/>
              </w:rPr>
            </w:pPr>
            <w:r w:rsidRPr="008A5CBB">
              <w:rPr>
                <w:sz w:val="18"/>
                <w:szCs w:val="18"/>
              </w:rPr>
              <w:t>8.9%</w:t>
            </w:r>
          </w:p>
        </w:tc>
      </w:tr>
      <w:tr w:rsidR="00CD214A" w:rsidRPr="00CD214A" w14:paraId="66F6FB78" w14:textId="77777777" w:rsidTr="00D733E3">
        <w:trPr>
          <w:trHeight w:val="230"/>
        </w:trPr>
        <w:tc>
          <w:tcPr>
            <w:tcW w:w="0" w:type="auto"/>
            <w:noWrap/>
            <w:hideMark/>
          </w:tcPr>
          <w:p w14:paraId="1E8E8141"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Hezinger Construction</w:t>
            </w:r>
          </w:p>
        </w:tc>
        <w:tc>
          <w:tcPr>
            <w:tcW w:w="1113" w:type="dxa"/>
            <w:noWrap/>
            <w:hideMark/>
          </w:tcPr>
          <w:p w14:paraId="5C015462"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6</w:t>
            </w:r>
          </w:p>
        </w:tc>
        <w:tc>
          <w:tcPr>
            <w:tcW w:w="1440" w:type="dxa"/>
            <w:noWrap/>
          </w:tcPr>
          <w:p w14:paraId="3A0F0F2A" w14:textId="37C9C281"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$493,000 </w:t>
            </w:r>
          </w:p>
        </w:tc>
        <w:tc>
          <w:tcPr>
            <w:tcW w:w="1440" w:type="dxa"/>
            <w:noWrap/>
          </w:tcPr>
          <w:p w14:paraId="6EC596BF" w14:textId="52379E36"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$1,092,233 </w:t>
            </w:r>
          </w:p>
        </w:tc>
        <w:tc>
          <w:tcPr>
            <w:tcW w:w="1273" w:type="dxa"/>
            <w:noWrap/>
            <w:hideMark/>
          </w:tcPr>
          <w:p w14:paraId="2D350B15"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7.3%</w:t>
            </w:r>
          </w:p>
        </w:tc>
      </w:tr>
      <w:tr w:rsidR="00CD214A" w:rsidRPr="00CD214A" w14:paraId="03F542F6" w14:textId="77777777" w:rsidTr="00D733E3">
        <w:trPr>
          <w:trHeight w:val="230"/>
        </w:trPr>
        <w:tc>
          <w:tcPr>
            <w:tcW w:w="0" w:type="auto"/>
            <w:noWrap/>
            <w:hideMark/>
          </w:tcPr>
          <w:p w14:paraId="2C1A1871"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Direct Traffic Control</w:t>
            </w:r>
          </w:p>
        </w:tc>
        <w:tc>
          <w:tcPr>
            <w:tcW w:w="1113" w:type="dxa"/>
            <w:noWrap/>
            <w:hideMark/>
          </w:tcPr>
          <w:p w14:paraId="00286578"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w:t>
            </w:r>
          </w:p>
        </w:tc>
        <w:tc>
          <w:tcPr>
            <w:tcW w:w="1440" w:type="dxa"/>
            <w:noWrap/>
          </w:tcPr>
          <w:p w14:paraId="28C96BD6" w14:textId="3ABD652B"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$823,179 </w:t>
            </w:r>
          </w:p>
        </w:tc>
        <w:tc>
          <w:tcPr>
            <w:tcW w:w="1440" w:type="dxa"/>
            <w:noWrap/>
          </w:tcPr>
          <w:p w14:paraId="523AAFE8" w14:textId="0EDEFD8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$840,820 </w:t>
            </w:r>
          </w:p>
        </w:tc>
        <w:tc>
          <w:tcPr>
            <w:tcW w:w="1273" w:type="dxa"/>
            <w:noWrap/>
            <w:hideMark/>
          </w:tcPr>
          <w:p w14:paraId="307B443A"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5.6%</w:t>
            </w:r>
          </w:p>
        </w:tc>
      </w:tr>
      <w:tr w:rsidR="00CD214A" w:rsidRPr="00CD214A" w14:paraId="26A31549" w14:textId="77777777" w:rsidTr="00D733E3">
        <w:trPr>
          <w:trHeight w:val="230"/>
        </w:trPr>
        <w:tc>
          <w:tcPr>
            <w:tcW w:w="0" w:type="auto"/>
            <w:noWrap/>
            <w:hideMark/>
          </w:tcPr>
          <w:p w14:paraId="73167B54"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Bizray Supply</w:t>
            </w:r>
          </w:p>
        </w:tc>
        <w:tc>
          <w:tcPr>
            <w:tcW w:w="1113" w:type="dxa"/>
            <w:noWrap/>
            <w:hideMark/>
          </w:tcPr>
          <w:p w14:paraId="40864CE9" w14:textId="1428E947" w:rsidR="00CD214A" w:rsidRPr="009B390F" w:rsidRDefault="008A5CBB" w:rsidP="00CD214A">
            <w:pPr>
              <w:spacing w:line="240" w:lineRule="auto"/>
              <w:jc w:val="right"/>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10</w:t>
            </w:r>
          </w:p>
        </w:tc>
        <w:tc>
          <w:tcPr>
            <w:tcW w:w="1440" w:type="dxa"/>
            <w:noWrap/>
          </w:tcPr>
          <w:p w14:paraId="7B41692C" w14:textId="72403506"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w:t>
            </w:r>
            <w:r w:rsidR="008A5CBB">
              <w:rPr>
                <w:rFonts w:asciiTheme="majorHAnsi" w:hAnsiTheme="majorHAnsi" w:cstheme="majorHAnsi"/>
                <w:sz w:val="18"/>
                <w:szCs w:val="18"/>
              </w:rPr>
              <w:t>804,841</w:t>
            </w:r>
            <w:r w:rsidRPr="00CD214A">
              <w:rPr>
                <w:rFonts w:asciiTheme="majorHAnsi" w:hAnsiTheme="majorHAnsi" w:cstheme="majorHAnsi"/>
                <w:sz w:val="18"/>
                <w:szCs w:val="18"/>
              </w:rPr>
              <w:t xml:space="preserve"> </w:t>
            </w:r>
          </w:p>
        </w:tc>
        <w:tc>
          <w:tcPr>
            <w:tcW w:w="1440" w:type="dxa"/>
            <w:noWrap/>
          </w:tcPr>
          <w:p w14:paraId="176CB7B8" w14:textId="1AE15CB2"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w:t>
            </w:r>
            <w:r w:rsidR="008A5CBB">
              <w:rPr>
                <w:rFonts w:asciiTheme="majorHAnsi" w:hAnsiTheme="majorHAnsi" w:cstheme="majorHAnsi"/>
                <w:sz w:val="18"/>
                <w:szCs w:val="18"/>
              </w:rPr>
              <w:t>803,337</w:t>
            </w:r>
            <w:r w:rsidRPr="00CD214A">
              <w:rPr>
                <w:rFonts w:asciiTheme="majorHAnsi" w:hAnsiTheme="majorHAnsi" w:cstheme="majorHAnsi"/>
                <w:sz w:val="18"/>
                <w:szCs w:val="18"/>
              </w:rPr>
              <w:t xml:space="preserve"> </w:t>
            </w:r>
          </w:p>
        </w:tc>
        <w:tc>
          <w:tcPr>
            <w:tcW w:w="1273" w:type="dxa"/>
            <w:noWrap/>
            <w:hideMark/>
          </w:tcPr>
          <w:p w14:paraId="40D0D5B3" w14:textId="053B8258" w:rsidR="00CD214A" w:rsidRPr="009B390F" w:rsidRDefault="008A5CBB" w:rsidP="00CD214A">
            <w:pPr>
              <w:spacing w:line="240" w:lineRule="auto"/>
              <w:jc w:val="right"/>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w:t>
            </w:r>
            <w:r w:rsidR="00CD214A" w:rsidRPr="009B390F">
              <w:rPr>
                <w:rFonts w:asciiTheme="majorHAnsi" w:eastAsia="Times New Roman" w:hAnsiTheme="majorHAnsi" w:cstheme="majorHAnsi"/>
                <w:color w:val="000000"/>
                <w:sz w:val="18"/>
                <w:szCs w:val="18"/>
              </w:rPr>
              <w:t>.</w:t>
            </w:r>
            <w:r>
              <w:rPr>
                <w:rFonts w:asciiTheme="majorHAnsi" w:eastAsia="Times New Roman" w:hAnsiTheme="majorHAnsi" w:cstheme="majorHAnsi"/>
                <w:color w:val="000000"/>
                <w:sz w:val="18"/>
                <w:szCs w:val="18"/>
              </w:rPr>
              <w:t>3</w:t>
            </w:r>
            <w:r w:rsidR="00CD214A" w:rsidRPr="009B390F">
              <w:rPr>
                <w:rFonts w:asciiTheme="majorHAnsi" w:eastAsia="Times New Roman" w:hAnsiTheme="majorHAnsi" w:cstheme="majorHAnsi"/>
                <w:color w:val="000000"/>
                <w:sz w:val="18"/>
                <w:szCs w:val="18"/>
              </w:rPr>
              <w:t>%</w:t>
            </w:r>
          </w:p>
        </w:tc>
      </w:tr>
      <w:tr w:rsidR="00CD214A" w:rsidRPr="00CD214A" w14:paraId="38ADDA1A" w14:textId="77777777" w:rsidTr="00D733E3">
        <w:trPr>
          <w:trHeight w:val="230"/>
        </w:trPr>
        <w:tc>
          <w:tcPr>
            <w:tcW w:w="0" w:type="auto"/>
            <w:noWrap/>
            <w:hideMark/>
          </w:tcPr>
          <w:p w14:paraId="5AA7B201"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Ground Level</w:t>
            </w:r>
          </w:p>
        </w:tc>
        <w:tc>
          <w:tcPr>
            <w:tcW w:w="1113" w:type="dxa"/>
            <w:noWrap/>
            <w:hideMark/>
          </w:tcPr>
          <w:p w14:paraId="6E64AB06"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w:t>
            </w:r>
          </w:p>
        </w:tc>
        <w:tc>
          <w:tcPr>
            <w:tcW w:w="1440" w:type="dxa"/>
            <w:noWrap/>
          </w:tcPr>
          <w:p w14:paraId="2701FD24" w14:textId="66FDFEEF"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$315,000 </w:t>
            </w:r>
          </w:p>
        </w:tc>
        <w:tc>
          <w:tcPr>
            <w:tcW w:w="1440" w:type="dxa"/>
            <w:noWrap/>
          </w:tcPr>
          <w:p w14:paraId="12592094" w14:textId="392A11EF"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$576,403 </w:t>
            </w:r>
          </w:p>
        </w:tc>
        <w:tc>
          <w:tcPr>
            <w:tcW w:w="1273" w:type="dxa"/>
            <w:noWrap/>
            <w:hideMark/>
          </w:tcPr>
          <w:p w14:paraId="004380B9"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3.9%</w:t>
            </w:r>
          </w:p>
        </w:tc>
      </w:tr>
      <w:tr w:rsidR="00CD214A" w:rsidRPr="00CD214A" w14:paraId="02EE48FD" w14:textId="77777777" w:rsidTr="00D733E3">
        <w:trPr>
          <w:trHeight w:val="230"/>
        </w:trPr>
        <w:tc>
          <w:tcPr>
            <w:tcW w:w="0" w:type="auto"/>
            <w:noWrap/>
            <w:hideMark/>
          </w:tcPr>
          <w:p w14:paraId="0094E753"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JR &amp; B Construction</w:t>
            </w:r>
          </w:p>
        </w:tc>
        <w:tc>
          <w:tcPr>
            <w:tcW w:w="1113" w:type="dxa"/>
            <w:noWrap/>
            <w:hideMark/>
          </w:tcPr>
          <w:p w14:paraId="6B7B0EC7"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7</w:t>
            </w:r>
          </w:p>
        </w:tc>
        <w:tc>
          <w:tcPr>
            <w:tcW w:w="1440" w:type="dxa"/>
            <w:noWrap/>
          </w:tcPr>
          <w:p w14:paraId="6AF2C7E6" w14:textId="1DFEC20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$385,376 </w:t>
            </w:r>
          </w:p>
        </w:tc>
        <w:tc>
          <w:tcPr>
            <w:tcW w:w="1440" w:type="dxa"/>
            <w:noWrap/>
          </w:tcPr>
          <w:p w14:paraId="7EEBC59A" w14:textId="5165ABCE"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$524,840 </w:t>
            </w:r>
          </w:p>
        </w:tc>
        <w:tc>
          <w:tcPr>
            <w:tcW w:w="1273" w:type="dxa"/>
            <w:noWrap/>
            <w:hideMark/>
          </w:tcPr>
          <w:p w14:paraId="3608994F"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3.5%</w:t>
            </w:r>
          </w:p>
        </w:tc>
      </w:tr>
      <w:tr w:rsidR="00CD214A" w:rsidRPr="00CD214A" w14:paraId="2D0E002E" w14:textId="77777777" w:rsidTr="00D733E3">
        <w:trPr>
          <w:trHeight w:val="230"/>
        </w:trPr>
        <w:tc>
          <w:tcPr>
            <w:tcW w:w="0" w:type="auto"/>
            <w:noWrap/>
            <w:hideMark/>
          </w:tcPr>
          <w:p w14:paraId="0A72CADC"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D&amp;H Trucking</w:t>
            </w:r>
          </w:p>
        </w:tc>
        <w:tc>
          <w:tcPr>
            <w:tcW w:w="1113" w:type="dxa"/>
            <w:noWrap/>
            <w:hideMark/>
          </w:tcPr>
          <w:p w14:paraId="70DD0F32"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7</w:t>
            </w:r>
          </w:p>
        </w:tc>
        <w:tc>
          <w:tcPr>
            <w:tcW w:w="1440" w:type="dxa"/>
            <w:noWrap/>
          </w:tcPr>
          <w:p w14:paraId="6B9CE79D" w14:textId="447CD8F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$461,920 </w:t>
            </w:r>
          </w:p>
        </w:tc>
        <w:tc>
          <w:tcPr>
            <w:tcW w:w="1440" w:type="dxa"/>
            <w:noWrap/>
          </w:tcPr>
          <w:p w14:paraId="7D6E69B1" w14:textId="049BB75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$396,283 </w:t>
            </w:r>
          </w:p>
        </w:tc>
        <w:tc>
          <w:tcPr>
            <w:tcW w:w="1273" w:type="dxa"/>
            <w:noWrap/>
            <w:hideMark/>
          </w:tcPr>
          <w:p w14:paraId="0FD9AEA7"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2.6%</w:t>
            </w:r>
          </w:p>
        </w:tc>
      </w:tr>
      <w:tr w:rsidR="00CD214A" w:rsidRPr="00CD214A" w14:paraId="07DF2CEB" w14:textId="77777777" w:rsidTr="00D733E3">
        <w:trPr>
          <w:trHeight w:val="230"/>
        </w:trPr>
        <w:tc>
          <w:tcPr>
            <w:tcW w:w="0" w:type="auto"/>
            <w:noWrap/>
            <w:hideMark/>
          </w:tcPr>
          <w:p w14:paraId="0D29B171"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Stephenson Plumbing</w:t>
            </w:r>
          </w:p>
        </w:tc>
        <w:tc>
          <w:tcPr>
            <w:tcW w:w="1113" w:type="dxa"/>
            <w:noWrap/>
            <w:hideMark/>
          </w:tcPr>
          <w:p w14:paraId="1388EF88"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4</w:t>
            </w:r>
          </w:p>
        </w:tc>
        <w:tc>
          <w:tcPr>
            <w:tcW w:w="1440" w:type="dxa"/>
            <w:noWrap/>
          </w:tcPr>
          <w:p w14:paraId="0759DFB8" w14:textId="64D4A4D8"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$132,711 </w:t>
            </w:r>
          </w:p>
        </w:tc>
        <w:tc>
          <w:tcPr>
            <w:tcW w:w="1440" w:type="dxa"/>
            <w:noWrap/>
          </w:tcPr>
          <w:p w14:paraId="1DE848DF" w14:textId="4CC4ED6D"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$359,263 </w:t>
            </w:r>
          </w:p>
        </w:tc>
        <w:tc>
          <w:tcPr>
            <w:tcW w:w="1273" w:type="dxa"/>
            <w:noWrap/>
            <w:hideMark/>
          </w:tcPr>
          <w:p w14:paraId="7340613C"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2.4%</w:t>
            </w:r>
          </w:p>
        </w:tc>
      </w:tr>
      <w:tr w:rsidR="00CD214A" w:rsidRPr="00CD214A" w14:paraId="5CB8F11D" w14:textId="77777777" w:rsidTr="00D733E3">
        <w:trPr>
          <w:trHeight w:val="230"/>
        </w:trPr>
        <w:tc>
          <w:tcPr>
            <w:tcW w:w="0" w:type="auto"/>
            <w:noWrap/>
            <w:hideMark/>
          </w:tcPr>
          <w:p w14:paraId="17CAD910"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Concrete Services Corp</w:t>
            </w:r>
          </w:p>
        </w:tc>
        <w:tc>
          <w:tcPr>
            <w:tcW w:w="1113" w:type="dxa"/>
            <w:noWrap/>
            <w:hideMark/>
          </w:tcPr>
          <w:p w14:paraId="5BF5FC4C"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3</w:t>
            </w:r>
          </w:p>
        </w:tc>
        <w:tc>
          <w:tcPr>
            <w:tcW w:w="1440" w:type="dxa"/>
            <w:noWrap/>
          </w:tcPr>
          <w:p w14:paraId="06DCE660" w14:textId="39D54B36"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$354,286 </w:t>
            </w:r>
          </w:p>
        </w:tc>
        <w:tc>
          <w:tcPr>
            <w:tcW w:w="1440" w:type="dxa"/>
            <w:noWrap/>
          </w:tcPr>
          <w:p w14:paraId="637EA087" w14:textId="46B31D9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$348,730 </w:t>
            </w:r>
          </w:p>
        </w:tc>
        <w:tc>
          <w:tcPr>
            <w:tcW w:w="1273" w:type="dxa"/>
            <w:noWrap/>
            <w:hideMark/>
          </w:tcPr>
          <w:p w14:paraId="0BE148F7"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2.3%</w:t>
            </w:r>
          </w:p>
        </w:tc>
      </w:tr>
      <w:tr w:rsidR="00CD214A" w:rsidRPr="00CD214A" w14:paraId="0A244957" w14:textId="77777777" w:rsidTr="00D733E3">
        <w:trPr>
          <w:trHeight w:val="230"/>
        </w:trPr>
        <w:tc>
          <w:tcPr>
            <w:tcW w:w="0" w:type="auto"/>
            <w:noWrap/>
            <w:hideMark/>
          </w:tcPr>
          <w:p w14:paraId="3E06C704"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Tulsa Sod &amp; Mulch</w:t>
            </w:r>
          </w:p>
        </w:tc>
        <w:tc>
          <w:tcPr>
            <w:tcW w:w="1113" w:type="dxa"/>
            <w:noWrap/>
            <w:hideMark/>
          </w:tcPr>
          <w:p w14:paraId="250DCA5C"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24</w:t>
            </w:r>
          </w:p>
        </w:tc>
        <w:tc>
          <w:tcPr>
            <w:tcW w:w="1440" w:type="dxa"/>
            <w:noWrap/>
          </w:tcPr>
          <w:p w14:paraId="1D18E019" w14:textId="60826AC4"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$291,663 </w:t>
            </w:r>
          </w:p>
        </w:tc>
        <w:tc>
          <w:tcPr>
            <w:tcW w:w="1440" w:type="dxa"/>
            <w:noWrap/>
          </w:tcPr>
          <w:p w14:paraId="5E59ED28" w14:textId="0646BD4B"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$344,441 </w:t>
            </w:r>
          </w:p>
        </w:tc>
        <w:tc>
          <w:tcPr>
            <w:tcW w:w="1273" w:type="dxa"/>
            <w:noWrap/>
            <w:hideMark/>
          </w:tcPr>
          <w:p w14:paraId="3AEBFBB6"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2.3%</w:t>
            </w:r>
          </w:p>
        </w:tc>
      </w:tr>
      <w:tr w:rsidR="00CD214A" w:rsidRPr="00CD214A" w14:paraId="7AA14AA5" w14:textId="77777777" w:rsidTr="00D733E3">
        <w:trPr>
          <w:trHeight w:val="230"/>
        </w:trPr>
        <w:tc>
          <w:tcPr>
            <w:tcW w:w="0" w:type="auto"/>
            <w:noWrap/>
            <w:hideMark/>
          </w:tcPr>
          <w:p w14:paraId="0EC3535E"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White Construction</w:t>
            </w:r>
          </w:p>
        </w:tc>
        <w:tc>
          <w:tcPr>
            <w:tcW w:w="1113" w:type="dxa"/>
            <w:noWrap/>
            <w:hideMark/>
          </w:tcPr>
          <w:p w14:paraId="7661F93D"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6</w:t>
            </w:r>
          </w:p>
        </w:tc>
        <w:tc>
          <w:tcPr>
            <w:tcW w:w="1440" w:type="dxa"/>
            <w:noWrap/>
          </w:tcPr>
          <w:p w14:paraId="27A38CED" w14:textId="48B1E0E6"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$141,010 </w:t>
            </w:r>
          </w:p>
        </w:tc>
        <w:tc>
          <w:tcPr>
            <w:tcW w:w="1440" w:type="dxa"/>
            <w:noWrap/>
          </w:tcPr>
          <w:p w14:paraId="48622C00" w14:textId="6B0DACBF"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$293,426 </w:t>
            </w:r>
          </w:p>
        </w:tc>
        <w:tc>
          <w:tcPr>
            <w:tcW w:w="1273" w:type="dxa"/>
            <w:noWrap/>
            <w:hideMark/>
          </w:tcPr>
          <w:p w14:paraId="793ED5E9"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2.0%</w:t>
            </w:r>
          </w:p>
        </w:tc>
      </w:tr>
      <w:tr w:rsidR="00F22647" w:rsidRPr="00CD214A" w14:paraId="7B501CB3" w14:textId="77777777" w:rsidTr="00D733E3">
        <w:trPr>
          <w:trHeight w:val="230"/>
        </w:trPr>
        <w:tc>
          <w:tcPr>
            <w:tcW w:w="0" w:type="auto"/>
            <w:noWrap/>
          </w:tcPr>
          <w:p w14:paraId="72B59074" w14:textId="6F72E8DB" w:rsidR="00F22647" w:rsidRPr="00F22647" w:rsidRDefault="00F22647" w:rsidP="00F22647">
            <w:pPr>
              <w:spacing w:line="240" w:lineRule="auto"/>
              <w:rPr>
                <w:rFonts w:asciiTheme="majorHAnsi" w:eastAsia="Times New Roman" w:hAnsiTheme="majorHAnsi" w:cstheme="majorHAnsi"/>
                <w:color w:val="000000"/>
                <w:sz w:val="18"/>
                <w:szCs w:val="18"/>
              </w:rPr>
            </w:pPr>
            <w:r w:rsidRPr="00F22647">
              <w:rPr>
                <w:sz w:val="18"/>
                <w:szCs w:val="18"/>
              </w:rPr>
              <w:t>Best Dump Trucking</w:t>
            </w:r>
          </w:p>
        </w:tc>
        <w:tc>
          <w:tcPr>
            <w:tcW w:w="1113" w:type="dxa"/>
            <w:noWrap/>
          </w:tcPr>
          <w:p w14:paraId="3A73A65B" w14:textId="265C0CF3" w:rsidR="00F22647" w:rsidRPr="00F22647" w:rsidRDefault="00F22647" w:rsidP="00F22647">
            <w:pPr>
              <w:spacing w:line="240" w:lineRule="auto"/>
              <w:jc w:val="right"/>
              <w:rPr>
                <w:rFonts w:asciiTheme="majorHAnsi" w:eastAsia="Times New Roman" w:hAnsiTheme="majorHAnsi" w:cstheme="majorHAnsi"/>
                <w:color w:val="000000"/>
                <w:sz w:val="18"/>
                <w:szCs w:val="18"/>
              </w:rPr>
            </w:pPr>
            <w:r w:rsidRPr="00F22647">
              <w:rPr>
                <w:sz w:val="18"/>
                <w:szCs w:val="18"/>
              </w:rPr>
              <w:t>9</w:t>
            </w:r>
          </w:p>
        </w:tc>
        <w:tc>
          <w:tcPr>
            <w:tcW w:w="1440" w:type="dxa"/>
            <w:noWrap/>
          </w:tcPr>
          <w:p w14:paraId="01C1C069" w14:textId="346995A1" w:rsidR="00F22647" w:rsidRPr="00F22647" w:rsidRDefault="00F22647" w:rsidP="00F22647">
            <w:pPr>
              <w:spacing w:line="240" w:lineRule="auto"/>
              <w:jc w:val="right"/>
              <w:rPr>
                <w:rFonts w:asciiTheme="majorHAnsi" w:hAnsiTheme="majorHAnsi" w:cstheme="majorHAnsi"/>
                <w:sz w:val="18"/>
                <w:szCs w:val="18"/>
              </w:rPr>
            </w:pPr>
            <w:r w:rsidRPr="00F22647">
              <w:rPr>
                <w:sz w:val="18"/>
                <w:szCs w:val="18"/>
              </w:rPr>
              <w:t xml:space="preserve"> $317,313 </w:t>
            </w:r>
          </w:p>
        </w:tc>
        <w:tc>
          <w:tcPr>
            <w:tcW w:w="1440" w:type="dxa"/>
            <w:noWrap/>
          </w:tcPr>
          <w:p w14:paraId="00FF3D56" w14:textId="519E02AD" w:rsidR="00F22647" w:rsidRPr="00F22647" w:rsidRDefault="00F22647" w:rsidP="00F22647">
            <w:pPr>
              <w:spacing w:line="240" w:lineRule="auto"/>
              <w:jc w:val="right"/>
              <w:rPr>
                <w:rFonts w:asciiTheme="majorHAnsi" w:hAnsiTheme="majorHAnsi" w:cstheme="majorHAnsi"/>
                <w:sz w:val="18"/>
                <w:szCs w:val="18"/>
              </w:rPr>
            </w:pPr>
            <w:r w:rsidRPr="00F22647">
              <w:rPr>
                <w:sz w:val="18"/>
                <w:szCs w:val="18"/>
              </w:rPr>
              <w:t xml:space="preserve"> $287,151 </w:t>
            </w:r>
          </w:p>
        </w:tc>
        <w:tc>
          <w:tcPr>
            <w:tcW w:w="1273" w:type="dxa"/>
            <w:noWrap/>
          </w:tcPr>
          <w:p w14:paraId="5AE0C0C5" w14:textId="2CC65188" w:rsidR="00F22647" w:rsidRPr="00F22647" w:rsidRDefault="00F22647" w:rsidP="00F22647">
            <w:pPr>
              <w:spacing w:line="240" w:lineRule="auto"/>
              <w:jc w:val="right"/>
              <w:rPr>
                <w:rFonts w:asciiTheme="majorHAnsi" w:eastAsia="Times New Roman" w:hAnsiTheme="majorHAnsi" w:cstheme="majorHAnsi"/>
                <w:color w:val="000000"/>
                <w:sz w:val="18"/>
                <w:szCs w:val="18"/>
              </w:rPr>
            </w:pPr>
            <w:r w:rsidRPr="00F22647">
              <w:rPr>
                <w:sz w:val="18"/>
                <w:szCs w:val="18"/>
              </w:rPr>
              <w:t>1.</w:t>
            </w:r>
            <w:r>
              <w:rPr>
                <w:sz w:val="18"/>
                <w:szCs w:val="18"/>
              </w:rPr>
              <w:t>9</w:t>
            </w:r>
            <w:r w:rsidRPr="00F22647">
              <w:rPr>
                <w:sz w:val="18"/>
                <w:szCs w:val="18"/>
              </w:rPr>
              <w:t>%</w:t>
            </w:r>
          </w:p>
        </w:tc>
      </w:tr>
      <w:tr w:rsidR="00CD214A" w:rsidRPr="00CD214A" w14:paraId="24ABD83E" w14:textId="77777777" w:rsidTr="00D733E3">
        <w:trPr>
          <w:trHeight w:val="230"/>
        </w:trPr>
        <w:tc>
          <w:tcPr>
            <w:tcW w:w="0" w:type="auto"/>
            <w:noWrap/>
            <w:hideMark/>
          </w:tcPr>
          <w:p w14:paraId="18B997A7"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Fenix Group</w:t>
            </w:r>
          </w:p>
        </w:tc>
        <w:tc>
          <w:tcPr>
            <w:tcW w:w="1113" w:type="dxa"/>
            <w:noWrap/>
            <w:hideMark/>
          </w:tcPr>
          <w:p w14:paraId="22FB90F3"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4</w:t>
            </w:r>
          </w:p>
        </w:tc>
        <w:tc>
          <w:tcPr>
            <w:tcW w:w="1440" w:type="dxa"/>
            <w:noWrap/>
          </w:tcPr>
          <w:p w14:paraId="27F4855B" w14:textId="06A90963"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$192,742 </w:t>
            </w:r>
          </w:p>
        </w:tc>
        <w:tc>
          <w:tcPr>
            <w:tcW w:w="1440" w:type="dxa"/>
            <w:noWrap/>
          </w:tcPr>
          <w:p w14:paraId="6AACCE0C" w14:textId="1DD9C0F5"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$286,478 </w:t>
            </w:r>
          </w:p>
        </w:tc>
        <w:tc>
          <w:tcPr>
            <w:tcW w:w="1273" w:type="dxa"/>
            <w:noWrap/>
            <w:hideMark/>
          </w:tcPr>
          <w:p w14:paraId="026981F9"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1.9%</w:t>
            </w:r>
          </w:p>
        </w:tc>
      </w:tr>
      <w:tr w:rsidR="00CD214A" w:rsidRPr="00CD214A" w14:paraId="650A23C4" w14:textId="77777777" w:rsidTr="00D733E3">
        <w:trPr>
          <w:trHeight w:val="230"/>
        </w:trPr>
        <w:tc>
          <w:tcPr>
            <w:tcW w:w="0" w:type="auto"/>
            <w:noWrap/>
            <w:hideMark/>
          </w:tcPr>
          <w:p w14:paraId="6F93917F" w14:textId="77777777"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Woodchuck Outdoors</w:t>
            </w:r>
          </w:p>
        </w:tc>
        <w:tc>
          <w:tcPr>
            <w:tcW w:w="1113" w:type="dxa"/>
            <w:noWrap/>
            <w:hideMark/>
          </w:tcPr>
          <w:p w14:paraId="0B41B737"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w:t>
            </w:r>
          </w:p>
        </w:tc>
        <w:tc>
          <w:tcPr>
            <w:tcW w:w="1440" w:type="dxa"/>
            <w:noWrap/>
          </w:tcPr>
          <w:p w14:paraId="731E790B" w14:textId="45CC2E00"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$374,369 </w:t>
            </w:r>
          </w:p>
        </w:tc>
        <w:tc>
          <w:tcPr>
            <w:tcW w:w="1440" w:type="dxa"/>
            <w:noWrap/>
          </w:tcPr>
          <w:p w14:paraId="73168072" w14:textId="450D9C4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$279,280 </w:t>
            </w:r>
          </w:p>
        </w:tc>
        <w:tc>
          <w:tcPr>
            <w:tcW w:w="1273" w:type="dxa"/>
            <w:noWrap/>
            <w:hideMark/>
          </w:tcPr>
          <w:p w14:paraId="414A9385"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1.9%</w:t>
            </w:r>
          </w:p>
        </w:tc>
      </w:tr>
      <w:tr w:rsidR="00CD214A" w:rsidRPr="00CD214A" w14:paraId="7807BFB6" w14:textId="77777777" w:rsidTr="00D733E3">
        <w:trPr>
          <w:trHeight w:val="238"/>
        </w:trPr>
        <w:tc>
          <w:tcPr>
            <w:tcW w:w="0" w:type="auto"/>
            <w:noWrap/>
            <w:hideMark/>
          </w:tcPr>
          <w:p w14:paraId="07D0669E" w14:textId="56DAE52F"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Other (2</w:t>
            </w:r>
            <w:r w:rsidR="00F22647">
              <w:rPr>
                <w:rFonts w:asciiTheme="majorHAnsi" w:eastAsia="Times New Roman" w:hAnsiTheme="majorHAnsi" w:cstheme="majorHAnsi"/>
                <w:color w:val="000000"/>
                <w:sz w:val="18"/>
                <w:szCs w:val="18"/>
              </w:rPr>
              <w:t>1</w:t>
            </w:r>
            <w:r w:rsidRPr="009B390F">
              <w:rPr>
                <w:rFonts w:asciiTheme="majorHAnsi" w:eastAsia="Times New Roman" w:hAnsiTheme="majorHAnsi" w:cstheme="majorHAnsi"/>
                <w:color w:val="000000"/>
                <w:sz w:val="18"/>
                <w:szCs w:val="18"/>
              </w:rPr>
              <w:t xml:space="preserve"> firms)</w:t>
            </w:r>
          </w:p>
        </w:tc>
        <w:tc>
          <w:tcPr>
            <w:tcW w:w="1113" w:type="dxa"/>
            <w:noWrap/>
            <w:hideMark/>
          </w:tcPr>
          <w:p w14:paraId="60FD8161" w14:textId="08649FB1" w:rsidR="00CD214A" w:rsidRPr="009B390F" w:rsidRDefault="00F22647" w:rsidP="00CD214A">
            <w:pPr>
              <w:spacing w:line="240" w:lineRule="auto"/>
              <w:jc w:val="right"/>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49</w:t>
            </w:r>
          </w:p>
        </w:tc>
        <w:tc>
          <w:tcPr>
            <w:tcW w:w="1440" w:type="dxa"/>
            <w:noWrap/>
          </w:tcPr>
          <w:p w14:paraId="7859591A" w14:textId="2228CF94"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$1,233,796 </w:t>
            </w:r>
          </w:p>
        </w:tc>
        <w:tc>
          <w:tcPr>
            <w:tcW w:w="1440" w:type="dxa"/>
            <w:noWrap/>
          </w:tcPr>
          <w:p w14:paraId="16BC25BF" w14:textId="12B0160B"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$1,062,305 </w:t>
            </w:r>
          </w:p>
        </w:tc>
        <w:tc>
          <w:tcPr>
            <w:tcW w:w="1273" w:type="dxa"/>
            <w:noWrap/>
            <w:hideMark/>
          </w:tcPr>
          <w:p w14:paraId="4B00C80F" w14:textId="7B140730" w:rsidR="00CD214A" w:rsidRPr="009B390F" w:rsidRDefault="00F22647" w:rsidP="00CD214A">
            <w:pPr>
              <w:spacing w:line="240" w:lineRule="auto"/>
              <w:jc w:val="right"/>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6.7</w:t>
            </w:r>
            <w:r w:rsidR="00CD214A" w:rsidRPr="009B390F">
              <w:rPr>
                <w:rFonts w:asciiTheme="majorHAnsi" w:eastAsia="Times New Roman" w:hAnsiTheme="majorHAnsi" w:cstheme="majorHAnsi"/>
                <w:color w:val="000000"/>
                <w:sz w:val="18"/>
                <w:szCs w:val="18"/>
              </w:rPr>
              <w:t>%</w:t>
            </w:r>
          </w:p>
        </w:tc>
      </w:tr>
      <w:tr w:rsidR="00CD214A" w:rsidRPr="00CD214A" w14:paraId="03001C9A" w14:textId="77777777" w:rsidTr="00D733E3">
        <w:trPr>
          <w:cnfStyle w:val="010000000000" w:firstRow="0" w:lastRow="1" w:firstColumn="0" w:lastColumn="0" w:oddVBand="0" w:evenVBand="0" w:oddHBand="0" w:evenHBand="0" w:firstRowFirstColumn="0" w:firstRowLastColumn="0" w:lastRowFirstColumn="0" w:lastRowLastColumn="0"/>
          <w:trHeight w:val="238"/>
        </w:trPr>
        <w:tc>
          <w:tcPr>
            <w:tcW w:w="0" w:type="auto"/>
            <w:noWrap/>
            <w:hideMark/>
          </w:tcPr>
          <w:p w14:paraId="5C52A845" w14:textId="47AB2FEA" w:rsidR="00CD214A" w:rsidRPr="009B390F" w:rsidRDefault="00CD214A" w:rsidP="00CD214A">
            <w:pPr>
              <w:spacing w:line="240" w:lineRule="auto"/>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Total</w:t>
            </w:r>
          </w:p>
        </w:tc>
        <w:tc>
          <w:tcPr>
            <w:tcW w:w="1113" w:type="dxa"/>
            <w:noWrap/>
            <w:hideMark/>
          </w:tcPr>
          <w:p w14:paraId="6A0E4258"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218</w:t>
            </w:r>
          </w:p>
        </w:tc>
        <w:tc>
          <w:tcPr>
            <w:tcW w:w="1440" w:type="dxa"/>
            <w:noWrap/>
          </w:tcPr>
          <w:p w14:paraId="40141DA9" w14:textId="084A5D18"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$13,142,463 </w:t>
            </w:r>
          </w:p>
        </w:tc>
        <w:tc>
          <w:tcPr>
            <w:tcW w:w="1440" w:type="dxa"/>
            <w:noWrap/>
          </w:tcPr>
          <w:p w14:paraId="5EC2A141" w14:textId="27E224EE"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CD214A">
              <w:rPr>
                <w:rFonts w:asciiTheme="majorHAnsi" w:hAnsiTheme="majorHAnsi" w:cstheme="majorHAnsi"/>
                <w:sz w:val="18"/>
                <w:szCs w:val="18"/>
              </w:rPr>
              <w:t xml:space="preserve"> $14,958,137 </w:t>
            </w:r>
          </w:p>
        </w:tc>
        <w:tc>
          <w:tcPr>
            <w:tcW w:w="1273" w:type="dxa"/>
            <w:noWrap/>
            <w:hideMark/>
          </w:tcPr>
          <w:p w14:paraId="6BB111AD" w14:textId="77777777" w:rsidR="00CD214A" w:rsidRPr="009B390F" w:rsidRDefault="00CD214A" w:rsidP="00CD214A">
            <w:pPr>
              <w:spacing w:line="240" w:lineRule="auto"/>
              <w:jc w:val="right"/>
              <w:rPr>
                <w:rFonts w:asciiTheme="majorHAnsi" w:eastAsia="Times New Roman" w:hAnsiTheme="majorHAnsi" w:cstheme="majorHAnsi"/>
                <w:color w:val="000000"/>
                <w:sz w:val="18"/>
                <w:szCs w:val="18"/>
              </w:rPr>
            </w:pPr>
            <w:r w:rsidRPr="009B390F">
              <w:rPr>
                <w:rFonts w:asciiTheme="majorHAnsi" w:eastAsia="Times New Roman" w:hAnsiTheme="majorHAnsi" w:cstheme="majorHAnsi"/>
                <w:color w:val="000000"/>
                <w:sz w:val="18"/>
                <w:szCs w:val="18"/>
              </w:rPr>
              <w:t>100.0%</w:t>
            </w:r>
          </w:p>
        </w:tc>
      </w:tr>
    </w:tbl>
    <w:p w14:paraId="448D4009" w14:textId="77777777" w:rsidR="00FC6806" w:rsidRDefault="00FC6806" w:rsidP="5647B939">
      <w:pPr>
        <w:spacing w:line="276" w:lineRule="auto"/>
        <w:rPr>
          <w:b/>
          <w:bCs/>
          <w:sz w:val="24"/>
          <w:szCs w:val="24"/>
        </w:rPr>
      </w:pPr>
    </w:p>
    <w:p w14:paraId="6B06A425" w14:textId="0D59F708" w:rsidR="00F84371" w:rsidRDefault="00F84371" w:rsidP="5647B939">
      <w:pPr>
        <w:pStyle w:val="Heading2"/>
        <w:spacing w:line="276" w:lineRule="auto"/>
      </w:pPr>
    </w:p>
    <w:p w14:paraId="4F66AB46" w14:textId="30C56D34" w:rsidR="00D733E3" w:rsidRDefault="00D733E3" w:rsidP="00D733E3"/>
    <w:p w14:paraId="20FB3664" w14:textId="60624D47" w:rsidR="00D733E3" w:rsidRDefault="00D733E3" w:rsidP="00D733E3"/>
    <w:p w14:paraId="363B8A6A" w14:textId="2539D462" w:rsidR="00D733E3" w:rsidRDefault="00D733E3" w:rsidP="00D733E3"/>
    <w:p w14:paraId="36957F35" w14:textId="203DD24C" w:rsidR="00D733E3" w:rsidRDefault="00D733E3" w:rsidP="00D733E3"/>
    <w:p w14:paraId="7EB9705E" w14:textId="2B18C048" w:rsidR="00D733E3" w:rsidRDefault="00D733E3" w:rsidP="00D733E3"/>
    <w:p w14:paraId="6F9566FD" w14:textId="519CFA23" w:rsidR="00D733E3" w:rsidRDefault="00D733E3" w:rsidP="00D733E3"/>
    <w:p w14:paraId="0E34DEDE" w14:textId="1D56AF6F" w:rsidR="00D733E3" w:rsidRDefault="00D733E3" w:rsidP="00D733E3"/>
    <w:p w14:paraId="2195056D" w14:textId="6CFDE0BD" w:rsidR="00D733E3" w:rsidRDefault="00D733E3" w:rsidP="00D733E3"/>
    <w:p w14:paraId="62A3B110" w14:textId="3CCC9D23" w:rsidR="00D733E3" w:rsidRDefault="00D733E3" w:rsidP="00D733E3"/>
    <w:p w14:paraId="10B517E4" w14:textId="0E6246F2" w:rsidR="00D733E3" w:rsidRDefault="00D733E3" w:rsidP="00D733E3"/>
    <w:p w14:paraId="6B485F78" w14:textId="52836937" w:rsidR="00D733E3" w:rsidRDefault="00D733E3" w:rsidP="00D733E3"/>
    <w:p w14:paraId="16684F1B" w14:textId="3AAF7668" w:rsidR="00D733E3" w:rsidRDefault="00D733E3" w:rsidP="00D733E3"/>
    <w:p w14:paraId="785E4513" w14:textId="538CED2D" w:rsidR="00D733E3" w:rsidRDefault="00D733E3" w:rsidP="00D733E3"/>
    <w:p w14:paraId="6073BA2D" w14:textId="77777777" w:rsidR="00D733E3" w:rsidRPr="00D733E3" w:rsidRDefault="00D733E3" w:rsidP="00D733E3"/>
    <w:p w14:paraId="7BAC7BD2" w14:textId="77777777" w:rsidR="00F84371" w:rsidRDefault="00F84371" w:rsidP="5647B939">
      <w:pPr>
        <w:pStyle w:val="Heading2"/>
        <w:spacing w:line="276" w:lineRule="auto"/>
      </w:pPr>
    </w:p>
    <w:p w14:paraId="79DE7A4C" w14:textId="78D41813" w:rsidR="00ED1793" w:rsidRDefault="00ED1793" w:rsidP="5647B939">
      <w:pPr>
        <w:pStyle w:val="Heading2"/>
        <w:spacing w:line="276" w:lineRule="auto"/>
      </w:pPr>
      <w:r>
        <w:t>Appendix A</w:t>
      </w:r>
      <w:r w:rsidR="008955BC">
        <w:t>. Project Expenses with SBE Details</w:t>
      </w:r>
    </w:p>
    <w:p w14:paraId="1E3D5F07" w14:textId="24C477D6" w:rsidR="00F84371" w:rsidRDefault="00F84371" w:rsidP="00F84371"/>
    <w:tbl>
      <w:tblPr>
        <w:tblStyle w:val="GridTable4-Accent1"/>
        <w:tblW w:w="10080" w:type="dxa"/>
        <w:tblLook w:val="0620" w:firstRow="1" w:lastRow="0" w:firstColumn="0" w:lastColumn="0" w:noHBand="1" w:noVBand="1"/>
      </w:tblPr>
      <w:tblGrid>
        <w:gridCol w:w="2495"/>
        <w:gridCol w:w="864"/>
        <w:gridCol w:w="1005"/>
        <w:gridCol w:w="1026"/>
        <w:gridCol w:w="1187"/>
        <w:gridCol w:w="1312"/>
        <w:gridCol w:w="1026"/>
        <w:gridCol w:w="1165"/>
      </w:tblGrid>
      <w:tr w:rsidR="00EF1A6A" w:rsidRPr="00EF1A6A" w14:paraId="674991CF" w14:textId="77777777" w:rsidTr="00EF1A6A">
        <w:trPr>
          <w:cnfStyle w:val="100000000000" w:firstRow="1" w:lastRow="0" w:firstColumn="0" w:lastColumn="0" w:oddVBand="0" w:evenVBand="0" w:oddHBand="0" w:evenHBand="0" w:firstRowFirstColumn="0" w:firstRowLastColumn="0" w:lastRowFirstColumn="0" w:lastRowLastColumn="0"/>
          <w:trHeight w:val="268"/>
        </w:trPr>
        <w:tc>
          <w:tcPr>
            <w:tcW w:w="2495" w:type="dxa"/>
            <w:hideMark/>
          </w:tcPr>
          <w:p w14:paraId="2068B053" w14:textId="697DE231" w:rsidR="00FA048B" w:rsidRPr="00FA048B" w:rsidRDefault="00FA048B" w:rsidP="00FA048B">
            <w:pPr>
              <w:spacing w:line="240" w:lineRule="auto"/>
              <w:rPr>
                <w:rFonts w:asciiTheme="majorHAnsi" w:eastAsia="Times New Roman" w:hAnsiTheme="majorHAnsi" w:cstheme="majorHAnsi"/>
                <w:sz w:val="14"/>
                <w:szCs w:val="14"/>
              </w:rPr>
            </w:pPr>
          </w:p>
        </w:tc>
        <w:tc>
          <w:tcPr>
            <w:tcW w:w="864" w:type="dxa"/>
            <w:noWrap/>
            <w:hideMark/>
          </w:tcPr>
          <w:p w14:paraId="6B4133B2" w14:textId="5612317B"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Project SBE Goal %</w:t>
            </w:r>
          </w:p>
        </w:tc>
        <w:tc>
          <w:tcPr>
            <w:tcW w:w="1005" w:type="dxa"/>
            <w:noWrap/>
            <w:hideMark/>
          </w:tcPr>
          <w:p w14:paraId="3F6921CF" w14:textId="2BF403BB"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Projected Amt</w:t>
            </w:r>
          </w:p>
        </w:tc>
        <w:tc>
          <w:tcPr>
            <w:tcW w:w="1026" w:type="dxa"/>
            <w:hideMark/>
          </w:tcPr>
          <w:p w14:paraId="3F42DCA3" w14:textId="6FCE1CE4"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Projected SBE Amt</w:t>
            </w:r>
          </w:p>
        </w:tc>
        <w:tc>
          <w:tcPr>
            <w:tcW w:w="1187" w:type="dxa"/>
            <w:noWrap/>
            <w:hideMark/>
          </w:tcPr>
          <w:p w14:paraId="03173C46" w14:textId="536E9B84"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Projected SBE Utilization %</w:t>
            </w:r>
          </w:p>
        </w:tc>
        <w:tc>
          <w:tcPr>
            <w:tcW w:w="1312" w:type="dxa"/>
            <w:noWrap/>
            <w:hideMark/>
          </w:tcPr>
          <w:p w14:paraId="2D7001DA" w14:textId="1BA89F23"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Actual Amt</w:t>
            </w:r>
          </w:p>
        </w:tc>
        <w:tc>
          <w:tcPr>
            <w:tcW w:w="1026" w:type="dxa"/>
            <w:hideMark/>
          </w:tcPr>
          <w:p w14:paraId="3D03D96C" w14:textId="745A9BC8"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Actual SBE Amt</w:t>
            </w:r>
          </w:p>
        </w:tc>
        <w:tc>
          <w:tcPr>
            <w:tcW w:w="1165" w:type="dxa"/>
            <w:noWrap/>
            <w:hideMark/>
          </w:tcPr>
          <w:p w14:paraId="57B8CAD1" w14:textId="406026E8" w:rsidR="00FA048B" w:rsidRPr="00FA048B" w:rsidRDefault="00FA048B" w:rsidP="00FA048B">
            <w:pPr>
              <w:spacing w:line="240" w:lineRule="auto"/>
              <w:jc w:val="center"/>
              <w:rPr>
                <w:rFonts w:asciiTheme="majorHAnsi" w:eastAsia="Times New Roman" w:hAnsiTheme="majorHAnsi" w:cstheme="majorHAnsi"/>
                <w:sz w:val="14"/>
                <w:szCs w:val="14"/>
              </w:rPr>
            </w:pPr>
            <w:r w:rsidRPr="00EF1A6A">
              <w:rPr>
                <w:rFonts w:asciiTheme="majorHAnsi" w:hAnsiTheme="majorHAnsi" w:cstheme="majorHAnsi"/>
                <w:sz w:val="14"/>
                <w:szCs w:val="14"/>
              </w:rPr>
              <w:t>Actual SBE Utilization %</w:t>
            </w:r>
          </w:p>
        </w:tc>
      </w:tr>
      <w:tr w:rsidR="00EF1A6A" w:rsidRPr="007A4710" w14:paraId="67FE0F0D" w14:textId="77777777" w:rsidTr="00EF1A6A">
        <w:trPr>
          <w:trHeight w:val="268"/>
        </w:trPr>
        <w:tc>
          <w:tcPr>
            <w:tcW w:w="2495" w:type="dxa"/>
            <w:shd w:val="clear" w:color="auto" w:fill="5B9BD5" w:themeFill="accent5"/>
            <w:noWrap/>
            <w:hideMark/>
          </w:tcPr>
          <w:p w14:paraId="0C6BA2E5" w14:textId="1C2D58D8" w:rsidR="00FA048B" w:rsidRPr="00FA048B" w:rsidRDefault="00FA048B" w:rsidP="00FA048B">
            <w:pPr>
              <w:spacing w:line="240" w:lineRule="auto"/>
              <w:rPr>
                <w:rFonts w:asciiTheme="majorHAnsi" w:eastAsia="Times New Roman" w:hAnsiTheme="majorHAnsi" w:cstheme="majorHAnsi"/>
                <w:b/>
                <w:bCs/>
                <w:color w:val="FFFFFF" w:themeColor="background1"/>
                <w:sz w:val="14"/>
                <w:szCs w:val="14"/>
              </w:rPr>
            </w:pPr>
            <w:r w:rsidRPr="007A4710">
              <w:rPr>
                <w:rFonts w:asciiTheme="majorHAnsi" w:hAnsiTheme="majorHAnsi" w:cstheme="majorHAnsi"/>
                <w:b/>
                <w:bCs/>
                <w:color w:val="FFFFFF" w:themeColor="background1"/>
                <w:sz w:val="14"/>
                <w:szCs w:val="14"/>
              </w:rPr>
              <w:t>2018</w:t>
            </w:r>
          </w:p>
        </w:tc>
        <w:tc>
          <w:tcPr>
            <w:tcW w:w="864" w:type="dxa"/>
            <w:shd w:val="clear" w:color="auto" w:fill="5B9BD5" w:themeFill="accent5"/>
            <w:noWrap/>
            <w:hideMark/>
          </w:tcPr>
          <w:p w14:paraId="1854E5DD"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05" w:type="dxa"/>
            <w:shd w:val="clear" w:color="auto" w:fill="5B9BD5" w:themeFill="accent5"/>
            <w:noWrap/>
            <w:hideMark/>
          </w:tcPr>
          <w:p w14:paraId="0C030B62"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6BD855A3"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87" w:type="dxa"/>
            <w:shd w:val="clear" w:color="auto" w:fill="5B9BD5" w:themeFill="accent5"/>
            <w:noWrap/>
            <w:hideMark/>
          </w:tcPr>
          <w:p w14:paraId="655A4067"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312" w:type="dxa"/>
            <w:shd w:val="clear" w:color="auto" w:fill="5B9BD5" w:themeFill="accent5"/>
            <w:noWrap/>
            <w:hideMark/>
          </w:tcPr>
          <w:p w14:paraId="5265A8BA"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2106C455"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65" w:type="dxa"/>
            <w:shd w:val="clear" w:color="auto" w:fill="5B9BD5" w:themeFill="accent5"/>
            <w:noWrap/>
            <w:hideMark/>
          </w:tcPr>
          <w:p w14:paraId="1BA6C5C6" w14:textId="777777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r>
      <w:tr w:rsidR="00EF1A6A" w:rsidRPr="007A4710" w14:paraId="507C25E6" w14:textId="77777777" w:rsidTr="00EF1A6A">
        <w:trPr>
          <w:trHeight w:val="268"/>
        </w:trPr>
        <w:tc>
          <w:tcPr>
            <w:tcW w:w="2495" w:type="dxa"/>
            <w:noWrap/>
            <w:hideMark/>
          </w:tcPr>
          <w:p w14:paraId="18944290" w14:textId="6C635DB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51st - Pittsburg Ave to Yale Ave</w:t>
            </w:r>
          </w:p>
        </w:tc>
        <w:tc>
          <w:tcPr>
            <w:tcW w:w="864" w:type="dxa"/>
            <w:noWrap/>
            <w:hideMark/>
          </w:tcPr>
          <w:p w14:paraId="0ACA43D1" w14:textId="26CEF88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C985091" w14:textId="385D062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$970,648 </w:t>
            </w:r>
          </w:p>
        </w:tc>
        <w:tc>
          <w:tcPr>
            <w:tcW w:w="1026" w:type="dxa"/>
            <w:noWrap/>
            <w:hideMark/>
          </w:tcPr>
          <w:p w14:paraId="4A578186" w14:textId="481C2D5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$140,159 </w:t>
            </w:r>
          </w:p>
        </w:tc>
        <w:tc>
          <w:tcPr>
            <w:tcW w:w="1187" w:type="dxa"/>
            <w:noWrap/>
            <w:hideMark/>
          </w:tcPr>
          <w:p w14:paraId="1A10CA06" w14:textId="4D94C4C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6.0%</w:t>
            </w:r>
          </w:p>
        </w:tc>
        <w:tc>
          <w:tcPr>
            <w:tcW w:w="1312" w:type="dxa"/>
            <w:noWrap/>
            <w:hideMark/>
          </w:tcPr>
          <w:p w14:paraId="11230194" w14:textId="5829A26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$1,126,666.35 </w:t>
            </w:r>
          </w:p>
        </w:tc>
        <w:tc>
          <w:tcPr>
            <w:tcW w:w="1026" w:type="dxa"/>
            <w:noWrap/>
            <w:hideMark/>
          </w:tcPr>
          <w:p w14:paraId="0700437D" w14:textId="1029330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$197,923 </w:t>
            </w:r>
          </w:p>
        </w:tc>
        <w:tc>
          <w:tcPr>
            <w:tcW w:w="1165" w:type="dxa"/>
            <w:noWrap/>
            <w:hideMark/>
          </w:tcPr>
          <w:p w14:paraId="3029D925" w14:textId="47DC233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17.6%</w:t>
            </w:r>
          </w:p>
        </w:tc>
      </w:tr>
      <w:tr w:rsidR="00EF1A6A" w:rsidRPr="007A4710" w14:paraId="6988E8EC" w14:textId="77777777" w:rsidTr="00EF1A6A">
        <w:trPr>
          <w:trHeight w:val="268"/>
        </w:trPr>
        <w:tc>
          <w:tcPr>
            <w:tcW w:w="2495" w:type="dxa"/>
            <w:noWrap/>
            <w:hideMark/>
          </w:tcPr>
          <w:p w14:paraId="45C6D101" w14:textId="35D97A8A"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 St. Rehab Lewis 21st to 11th</w:t>
            </w:r>
          </w:p>
        </w:tc>
        <w:tc>
          <w:tcPr>
            <w:tcW w:w="864" w:type="dxa"/>
            <w:noWrap/>
            <w:hideMark/>
          </w:tcPr>
          <w:p w14:paraId="774CF524" w14:textId="49EA1D6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3.4%</w:t>
            </w:r>
          </w:p>
        </w:tc>
        <w:tc>
          <w:tcPr>
            <w:tcW w:w="1005" w:type="dxa"/>
            <w:noWrap/>
            <w:hideMark/>
          </w:tcPr>
          <w:p w14:paraId="5E6567DA" w14:textId="34B6093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$4,777,787 </w:t>
            </w:r>
          </w:p>
        </w:tc>
        <w:tc>
          <w:tcPr>
            <w:tcW w:w="1026" w:type="dxa"/>
            <w:noWrap/>
            <w:hideMark/>
          </w:tcPr>
          <w:p w14:paraId="734E071C" w14:textId="6737E09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$163,064 </w:t>
            </w:r>
          </w:p>
        </w:tc>
        <w:tc>
          <w:tcPr>
            <w:tcW w:w="1187" w:type="dxa"/>
            <w:noWrap/>
            <w:hideMark/>
          </w:tcPr>
          <w:p w14:paraId="1373B31D" w14:textId="57887A6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4.6%</w:t>
            </w:r>
          </w:p>
        </w:tc>
        <w:tc>
          <w:tcPr>
            <w:tcW w:w="1312" w:type="dxa"/>
            <w:noWrap/>
            <w:hideMark/>
          </w:tcPr>
          <w:p w14:paraId="58AB0F6A" w14:textId="2EA8886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$5,383,778.72 </w:t>
            </w:r>
          </w:p>
        </w:tc>
        <w:tc>
          <w:tcPr>
            <w:tcW w:w="1026" w:type="dxa"/>
            <w:noWrap/>
            <w:hideMark/>
          </w:tcPr>
          <w:p w14:paraId="357B31F8" w14:textId="10C7D26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$475,248 </w:t>
            </w:r>
          </w:p>
        </w:tc>
        <w:tc>
          <w:tcPr>
            <w:tcW w:w="1165" w:type="dxa"/>
            <w:noWrap/>
            <w:hideMark/>
          </w:tcPr>
          <w:p w14:paraId="5238D67A" w14:textId="64CDF38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8.8%</w:t>
            </w:r>
          </w:p>
        </w:tc>
      </w:tr>
      <w:tr w:rsidR="00EF1A6A" w:rsidRPr="007A4710" w14:paraId="1C90681A" w14:textId="77777777" w:rsidTr="00EF1A6A">
        <w:trPr>
          <w:trHeight w:val="268"/>
        </w:trPr>
        <w:tc>
          <w:tcPr>
            <w:tcW w:w="2495" w:type="dxa"/>
            <w:noWrap/>
            <w:hideMark/>
          </w:tcPr>
          <w:p w14:paraId="445CA76F" w14:textId="412B0DFC"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Arterial St Rehab &amp; WL Replace</w:t>
            </w:r>
          </w:p>
        </w:tc>
        <w:tc>
          <w:tcPr>
            <w:tcW w:w="864" w:type="dxa"/>
            <w:noWrap/>
            <w:hideMark/>
          </w:tcPr>
          <w:p w14:paraId="31903746" w14:textId="28A5897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4A54C21" w14:textId="3B158FB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$1,610,562 </w:t>
            </w:r>
          </w:p>
        </w:tc>
        <w:tc>
          <w:tcPr>
            <w:tcW w:w="1026" w:type="dxa"/>
            <w:noWrap/>
            <w:hideMark/>
          </w:tcPr>
          <w:p w14:paraId="54663D58" w14:textId="12F55C0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$126,750 </w:t>
            </w:r>
          </w:p>
        </w:tc>
        <w:tc>
          <w:tcPr>
            <w:tcW w:w="1187" w:type="dxa"/>
            <w:noWrap/>
            <w:hideMark/>
          </w:tcPr>
          <w:p w14:paraId="714C2B03" w14:textId="0625B22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14.2%</w:t>
            </w:r>
          </w:p>
        </w:tc>
        <w:tc>
          <w:tcPr>
            <w:tcW w:w="1312" w:type="dxa"/>
            <w:noWrap/>
            <w:hideMark/>
          </w:tcPr>
          <w:p w14:paraId="121B0E53" w14:textId="45C0F07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$1,645,739.67 </w:t>
            </w:r>
          </w:p>
        </w:tc>
        <w:tc>
          <w:tcPr>
            <w:tcW w:w="1026" w:type="dxa"/>
            <w:noWrap/>
            <w:hideMark/>
          </w:tcPr>
          <w:p w14:paraId="33013FEC" w14:textId="4D87516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$168,210 </w:t>
            </w:r>
          </w:p>
        </w:tc>
        <w:tc>
          <w:tcPr>
            <w:tcW w:w="1165" w:type="dxa"/>
            <w:noWrap/>
            <w:hideMark/>
          </w:tcPr>
          <w:p w14:paraId="51FE1C4C" w14:textId="6978FB4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10.2%</w:t>
            </w:r>
          </w:p>
        </w:tc>
      </w:tr>
      <w:tr w:rsidR="00EF1A6A" w:rsidRPr="007A4710" w14:paraId="0E0F796E" w14:textId="77777777" w:rsidTr="00EF1A6A">
        <w:trPr>
          <w:trHeight w:val="268"/>
        </w:trPr>
        <w:tc>
          <w:tcPr>
            <w:tcW w:w="2495" w:type="dxa"/>
            <w:noWrap/>
            <w:hideMark/>
          </w:tcPr>
          <w:p w14:paraId="6AF674C6" w14:textId="7A9569BF"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Boulder Av/10th St to 1st St &amp; 6th St &amp; Denver Ave to Boulder Ave</w:t>
            </w:r>
          </w:p>
        </w:tc>
        <w:tc>
          <w:tcPr>
            <w:tcW w:w="864" w:type="dxa"/>
            <w:noWrap/>
            <w:hideMark/>
          </w:tcPr>
          <w:p w14:paraId="0BEACD23" w14:textId="08CB07F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9CC7F45" w14:textId="6CB7A02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$4,415,000 </w:t>
            </w:r>
          </w:p>
        </w:tc>
        <w:tc>
          <w:tcPr>
            <w:tcW w:w="1026" w:type="dxa"/>
            <w:noWrap/>
            <w:hideMark/>
          </w:tcPr>
          <w:p w14:paraId="453B65D0" w14:textId="5E35224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$443,000 </w:t>
            </w:r>
          </w:p>
        </w:tc>
        <w:tc>
          <w:tcPr>
            <w:tcW w:w="1187" w:type="dxa"/>
            <w:noWrap/>
            <w:hideMark/>
          </w:tcPr>
          <w:p w14:paraId="12BDBE0C" w14:textId="57841AE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53.1%</w:t>
            </w:r>
          </w:p>
        </w:tc>
        <w:tc>
          <w:tcPr>
            <w:tcW w:w="1312" w:type="dxa"/>
            <w:noWrap/>
            <w:hideMark/>
          </w:tcPr>
          <w:p w14:paraId="143091E7" w14:textId="09C2E7D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$4,904,166.05 </w:t>
            </w:r>
          </w:p>
        </w:tc>
        <w:tc>
          <w:tcPr>
            <w:tcW w:w="1026" w:type="dxa"/>
            <w:noWrap/>
            <w:hideMark/>
          </w:tcPr>
          <w:p w14:paraId="2659FF98" w14:textId="7ACC6B6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$549,710 </w:t>
            </w:r>
          </w:p>
        </w:tc>
        <w:tc>
          <w:tcPr>
            <w:tcW w:w="1165" w:type="dxa"/>
            <w:noWrap/>
            <w:hideMark/>
          </w:tcPr>
          <w:p w14:paraId="65AF384B" w14:textId="49CC08A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11.2%</w:t>
            </w:r>
          </w:p>
        </w:tc>
      </w:tr>
      <w:tr w:rsidR="00EF1A6A" w:rsidRPr="007A4710" w14:paraId="0089DA0B" w14:textId="77777777" w:rsidTr="00EF1A6A">
        <w:trPr>
          <w:trHeight w:val="268"/>
        </w:trPr>
        <w:tc>
          <w:tcPr>
            <w:tcW w:w="2495" w:type="dxa"/>
            <w:noWrap/>
            <w:hideMark/>
          </w:tcPr>
          <w:p w14:paraId="02B21ED2" w14:textId="3739633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Bridge #402, 4200 S Memorial</w:t>
            </w:r>
          </w:p>
        </w:tc>
        <w:tc>
          <w:tcPr>
            <w:tcW w:w="864" w:type="dxa"/>
            <w:noWrap/>
            <w:hideMark/>
          </w:tcPr>
          <w:p w14:paraId="06551810" w14:textId="0366411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988D305" w14:textId="20AB857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$274,000 </w:t>
            </w:r>
          </w:p>
        </w:tc>
        <w:tc>
          <w:tcPr>
            <w:tcW w:w="1026" w:type="dxa"/>
            <w:noWrap/>
            <w:hideMark/>
          </w:tcPr>
          <w:p w14:paraId="61140992" w14:textId="30D6375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$31,029 </w:t>
            </w:r>
          </w:p>
        </w:tc>
        <w:tc>
          <w:tcPr>
            <w:tcW w:w="1187" w:type="dxa"/>
            <w:noWrap/>
            <w:hideMark/>
          </w:tcPr>
          <w:p w14:paraId="58C021C6" w14:textId="61FE209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11.1%</w:t>
            </w:r>
          </w:p>
        </w:tc>
        <w:tc>
          <w:tcPr>
            <w:tcW w:w="1312" w:type="dxa"/>
            <w:noWrap/>
            <w:hideMark/>
          </w:tcPr>
          <w:p w14:paraId="5DDC85EA" w14:textId="0503925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$222,993.05 </w:t>
            </w:r>
          </w:p>
        </w:tc>
        <w:tc>
          <w:tcPr>
            <w:tcW w:w="1026" w:type="dxa"/>
            <w:noWrap/>
            <w:hideMark/>
          </w:tcPr>
          <w:p w14:paraId="700A4BCE" w14:textId="2A59017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$43,504 </w:t>
            </w:r>
          </w:p>
        </w:tc>
        <w:tc>
          <w:tcPr>
            <w:tcW w:w="1165" w:type="dxa"/>
            <w:noWrap/>
            <w:hideMark/>
          </w:tcPr>
          <w:p w14:paraId="560B09F5" w14:textId="49AE125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19.5%</w:t>
            </w:r>
          </w:p>
        </w:tc>
      </w:tr>
      <w:tr w:rsidR="00EF1A6A" w:rsidRPr="007A4710" w14:paraId="5A279166" w14:textId="77777777" w:rsidTr="00EF1A6A">
        <w:trPr>
          <w:trHeight w:val="268"/>
        </w:trPr>
        <w:tc>
          <w:tcPr>
            <w:tcW w:w="2495" w:type="dxa"/>
            <w:noWrap/>
            <w:hideMark/>
          </w:tcPr>
          <w:p w14:paraId="437E89E6" w14:textId="7F064AC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"CC Mason Edu </w:t>
            </w:r>
            <w:proofErr w:type="spellStart"/>
            <w:r w:rsidRPr="007A4710">
              <w:rPr>
                <w:rFonts w:asciiTheme="majorHAnsi" w:hAnsiTheme="majorHAnsi" w:cstheme="majorHAnsi"/>
                <w:sz w:val="14"/>
                <w:szCs w:val="14"/>
              </w:rPr>
              <w:t>Sv</w:t>
            </w:r>
            <w:proofErr w:type="spellEnd"/>
            <w:r w:rsidRPr="007A4710">
              <w:rPr>
                <w:rFonts w:asciiTheme="majorHAnsi" w:hAnsiTheme="majorHAnsi" w:cstheme="majorHAnsi"/>
                <w:sz w:val="14"/>
                <w:szCs w:val="14"/>
              </w:rPr>
              <w:t xml:space="preserve"> Ctr </w:t>
            </w:r>
            <w:proofErr w:type="spellStart"/>
            <w:r w:rsidRPr="007A4710">
              <w:rPr>
                <w:rFonts w:asciiTheme="majorHAnsi" w:hAnsiTheme="majorHAnsi" w:cstheme="majorHAnsi"/>
                <w:sz w:val="14"/>
                <w:szCs w:val="14"/>
              </w:rPr>
              <w:t>Prkg</w:t>
            </w:r>
            <w:proofErr w:type="spellEnd"/>
          </w:p>
        </w:tc>
        <w:tc>
          <w:tcPr>
            <w:tcW w:w="864" w:type="dxa"/>
            <w:noWrap/>
            <w:hideMark/>
          </w:tcPr>
          <w:p w14:paraId="687D1558" w14:textId="2F6EBAD6"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005" w:type="dxa"/>
            <w:noWrap/>
            <w:hideMark/>
          </w:tcPr>
          <w:p w14:paraId="21A8BFA4" w14:textId="46026CCC"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026" w:type="dxa"/>
            <w:noWrap/>
            <w:hideMark/>
          </w:tcPr>
          <w:p w14:paraId="61CCB4EB" w14:textId="6614ABC5"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187" w:type="dxa"/>
            <w:noWrap/>
            <w:hideMark/>
          </w:tcPr>
          <w:p w14:paraId="05457A02" w14:textId="420E805B"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312" w:type="dxa"/>
            <w:noWrap/>
            <w:hideMark/>
          </w:tcPr>
          <w:p w14:paraId="55666203" w14:textId="415EEA17"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026" w:type="dxa"/>
            <w:noWrap/>
            <w:hideMark/>
          </w:tcPr>
          <w:p w14:paraId="53CAEB46" w14:textId="714755AF"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c>
          <w:tcPr>
            <w:tcW w:w="1165" w:type="dxa"/>
            <w:noWrap/>
            <w:hideMark/>
          </w:tcPr>
          <w:p w14:paraId="2AB0C2A2" w14:textId="58AF18E7" w:rsidR="00FA048B" w:rsidRPr="00FA048B" w:rsidRDefault="00FA048B" w:rsidP="007A4710">
            <w:pPr>
              <w:spacing w:line="240" w:lineRule="auto"/>
              <w:jc w:val="right"/>
              <w:rPr>
                <w:rFonts w:asciiTheme="majorHAnsi" w:eastAsia="Times New Roman" w:hAnsiTheme="majorHAnsi" w:cstheme="majorHAnsi"/>
                <w:color w:val="000000"/>
                <w:sz w:val="14"/>
                <w:szCs w:val="14"/>
              </w:rPr>
            </w:pPr>
          </w:p>
        </w:tc>
      </w:tr>
      <w:tr w:rsidR="00EF1A6A" w:rsidRPr="007A4710" w14:paraId="5A7B33E9" w14:textId="77777777" w:rsidTr="00EF1A6A">
        <w:trPr>
          <w:trHeight w:val="268"/>
        </w:trPr>
        <w:tc>
          <w:tcPr>
            <w:tcW w:w="2495" w:type="dxa"/>
            <w:noWrap/>
            <w:hideMark/>
          </w:tcPr>
          <w:p w14:paraId="3B01DA02" w14:textId="56B3E698"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Drainage"</w:t>
            </w:r>
          </w:p>
        </w:tc>
        <w:tc>
          <w:tcPr>
            <w:tcW w:w="864" w:type="dxa"/>
            <w:noWrap/>
            <w:hideMark/>
          </w:tcPr>
          <w:p w14:paraId="51156467" w14:textId="4052D45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1.5%</w:t>
            </w:r>
          </w:p>
        </w:tc>
        <w:tc>
          <w:tcPr>
            <w:tcW w:w="1005" w:type="dxa"/>
            <w:noWrap/>
            <w:hideMark/>
          </w:tcPr>
          <w:p w14:paraId="3CB9AFEA" w14:textId="23D717A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$278,325 </w:t>
            </w:r>
          </w:p>
        </w:tc>
        <w:tc>
          <w:tcPr>
            <w:tcW w:w="1026" w:type="dxa"/>
            <w:noWrap/>
            <w:hideMark/>
          </w:tcPr>
          <w:p w14:paraId="3A9E7E72" w14:textId="0FFE6C7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$4,160 </w:t>
            </w:r>
          </w:p>
        </w:tc>
        <w:tc>
          <w:tcPr>
            <w:tcW w:w="1187" w:type="dxa"/>
            <w:noWrap/>
            <w:hideMark/>
          </w:tcPr>
          <w:p w14:paraId="6D65BE78" w14:textId="0DBC134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1.5%</w:t>
            </w:r>
          </w:p>
        </w:tc>
        <w:tc>
          <w:tcPr>
            <w:tcW w:w="1312" w:type="dxa"/>
            <w:noWrap/>
            <w:hideMark/>
          </w:tcPr>
          <w:p w14:paraId="7348E060" w14:textId="1DE4A90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$453,034.23 </w:t>
            </w:r>
          </w:p>
        </w:tc>
        <w:tc>
          <w:tcPr>
            <w:tcW w:w="1026" w:type="dxa"/>
            <w:noWrap/>
            <w:hideMark/>
          </w:tcPr>
          <w:p w14:paraId="4DD4BA89" w14:textId="377E253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$312,996 </w:t>
            </w:r>
          </w:p>
        </w:tc>
        <w:tc>
          <w:tcPr>
            <w:tcW w:w="1165" w:type="dxa"/>
            <w:noWrap/>
            <w:hideMark/>
          </w:tcPr>
          <w:p w14:paraId="7504F6C1" w14:textId="75842CA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69.1%</w:t>
            </w:r>
          </w:p>
        </w:tc>
      </w:tr>
      <w:tr w:rsidR="00EF1A6A" w:rsidRPr="007A4710" w14:paraId="25F4E415" w14:textId="77777777" w:rsidTr="00EF1A6A">
        <w:trPr>
          <w:trHeight w:val="268"/>
        </w:trPr>
        <w:tc>
          <w:tcPr>
            <w:tcW w:w="2495" w:type="dxa"/>
            <w:noWrap/>
            <w:hideMark/>
          </w:tcPr>
          <w:p w14:paraId="43835DC4" w14:textId="58B24F27"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proofErr w:type="spellStart"/>
            <w:r w:rsidRPr="007A4710">
              <w:rPr>
                <w:rFonts w:asciiTheme="majorHAnsi" w:hAnsiTheme="majorHAnsi" w:cstheme="majorHAnsi"/>
                <w:sz w:val="14"/>
                <w:szCs w:val="14"/>
              </w:rPr>
              <w:t>CityWide</w:t>
            </w:r>
            <w:proofErr w:type="spellEnd"/>
            <w:r w:rsidRPr="007A4710">
              <w:rPr>
                <w:rFonts w:asciiTheme="majorHAnsi" w:hAnsiTheme="majorHAnsi" w:cstheme="majorHAnsi"/>
                <w:sz w:val="14"/>
                <w:szCs w:val="14"/>
              </w:rPr>
              <w:t xml:space="preserve"> Bridge Rehab</w:t>
            </w:r>
          </w:p>
        </w:tc>
        <w:tc>
          <w:tcPr>
            <w:tcW w:w="864" w:type="dxa"/>
            <w:noWrap/>
            <w:hideMark/>
          </w:tcPr>
          <w:p w14:paraId="21B1062A" w14:textId="704EF2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F464A8F" w14:textId="7D29EF9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$2,346,530 </w:t>
            </w:r>
          </w:p>
        </w:tc>
        <w:tc>
          <w:tcPr>
            <w:tcW w:w="1026" w:type="dxa"/>
            <w:noWrap/>
            <w:hideMark/>
          </w:tcPr>
          <w:p w14:paraId="66A7067F" w14:textId="2A5D675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$236,080 </w:t>
            </w:r>
          </w:p>
        </w:tc>
        <w:tc>
          <w:tcPr>
            <w:tcW w:w="1187" w:type="dxa"/>
            <w:noWrap/>
            <w:hideMark/>
          </w:tcPr>
          <w:p w14:paraId="30B118F8" w14:textId="6438054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5.3%</w:t>
            </w:r>
          </w:p>
        </w:tc>
        <w:tc>
          <w:tcPr>
            <w:tcW w:w="1312" w:type="dxa"/>
            <w:noWrap/>
            <w:hideMark/>
          </w:tcPr>
          <w:p w14:paraId="1517ABFA" w14:textId="30708D8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$1,948,418.41 </w:t>
            </w:r>
          </w:p>
        </w:tc>
        <w:tc>
          <w:tcPr>
            <w:tcW w:w="1026" w:type="dxa"/>
            <w:noWrap/>
            <w:hideMark/>
          </w:tcPr>
          <w:p w14:paraId="482D4D0B" w14:textId="11E1C2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$219,499 </w:t>
            </w:r>
          </w:p>
        </w:tc>
        <w:tc>
          <w:tcPr>
            <w:tcW w:w="1165" w:type="dxa"/>
            <w:noWrap/>
            <w:hideMark/>
          </w:tcPr>
          <w:p w14:paraId="0CF173D2" w14:textId="6479718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11.3%</w:t>
            </w:r>
          </w:p>
        </w:tc>
      </w:tr>
      <w:tr w:rsidR="00EF1A6A" w:rsidRPr="007A4710" w14:paraId="089AC91B" w14:textId="77777777" w:rsidTr="00EF1A6A">
        <w:trPr>
          <w:trHeight w:val="268"/>
        </w:trPr>
        <w:tc>
          <w:tcPr>
            <w:tcW w:w="2495" w:type="dxa"/>
            <w:noWrap/>
            <w:hideMark/>
          </w:tcPr>
          <w:p w14:paraId="3EDEB439" w14:textId="5343A925"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COT Vision Tulsa American Hangar Tail</w:t>
            </w:r>
          </w:p>
        </w:tc>
        <w:tc>
          <w:tcPr>
            <w:tcW w:w="864" w:type="dxa"/>
            <w:noWrap/>
            <w:hideMark/>
          </w:tcPr>
          <w:p w14:paraId="00B4CA33" w14:textId="153BEE4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2BDB1B0" w14:textId="4761A54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$2,321,000 </w:t>
            </w:r>
          </w:p>
        </w:tc>
        <w:tc>
          <w:tcPr>
            <w:tcW w:w="1026" w:type="dxa"/>
            <w:noWrap/>
            <w:hideMark/>
          </w:tcPr>
          <w:p w14:paraId="32567865" w14:textId="0BE4E88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$285,000 </w:t>
            </w:r>
          </w:p>
        </w:tc>
        <w:tc>
          <w:tcPr>
            <w:tcW w:w="1187" w:type="dxa"/>
            <w:noWrap/>
            <w:hideMark/>
          </w:tcPr>
          <w:p w14:paraId="3A55764C" w14:textId="6412341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26.0%</w:t>
            </w:r>
          </w:p>
        </w:tc>
        <w:tc>
          <w:tcPr>
            <w:tcW w:w="1312" w:type="dxa"/>
            <w:noWrap/>
            <w:hideMark/>
          </w:tcPr>
          <w:p w14:paraId="7BA81B42" w14:textId="1875697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$2,122,396.00 </w:t>
            </w:r>
          </w:p>
        </w:tc>
        <w:tc>
          <w:tcPr>
            <w:tcW w:w="1026" w:type="dxa"/>
            <w:noWrap/>
            <w:hideMark/>
          </w:tcPr>
          <w:p w14:paraId="7B2AACCF" w14:textId="2E47D07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$285,000 </w:t>
            </w:r>
          </w:p>
        </w:tc>
        <w:tc>
          <w:tcPr>
            <w:tcW w:w="1165" w:type="dxa"/>
            <w:noWrap/>
            <w:hideMark/>
          </w:tcPr>
          <w:p w14:paraId="2F346887" w14:textId="0CABB80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13.4%</w:t>
            </w:r>
          </w:p>
        </w:tc>
      </w:tr>
      <w:tr w:rsidR="00EF1A6A" w:rsidRPr="007A4710" w14:paraId="536D8185" w14:textId="77777777" w:rsidTr="00EF1A6A">
        <w:trPr>
          <w:trHeight w:val="268"/>
        </w:trPr>
        <w:tc>
          <w:tcPr>
            <w:tcW w:w="2495" w:type="dxa"/>
            <w:noWrap/>
            <w:hideMark/>
          </w:tcPr>
          <w:p w14:paraId="3521BDEB" w14:textId="7AF2CC97"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EMD Emergency Generators</w:t>
            </w:r>
          </w:p>
        </w:tc>
        <w:tc>
          <w:tcPr>
            <w:tcW w:w="864" w:type="dxa"/>
            <w:noWrap/>
            <w:hideMark/>
          </w:tcPr>
          <w:p w14:paraId="6A7FA12F" w14:textId="3BA696E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c>
          <w:tcPr>
            <w:tcW w:w="1005" w:type="dxa"/>
            <w:noWrap/>
            <w:hideMark/>
          </w:tcPr>
          <w:p w14:paraId="3D57667C" w14:textId="497581C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$218,017 </w:t>
            </w:r>
          </w:p>
        </w:tc>
        <w:tc>
          <w:tcPr>
            <w:tcW w:w="1026" w:type="dxa"/>
            <w:noWrap/>
            <w:hideMark/>
          </w:tcPr>
          <w:p w14:paraId="5D0377CA" w14:textId="7039DD7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   </w:t>
            </w:r>
          </w:p>
        </w:tc>
        <w:tc>
          <w:tcPr>
            <w:tcW w:w="1187" w:type="dxa"/>
            <w:noWrap/>
            <w:hideMark/>
          </w:tcPr>
          <w:p w14:paraId="69176AEE" w14:textId="6774653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c>
          <w:tcPr>
            <w:tcW w:w="1312" w:type="dxa"/>
            <w:noWrap/>
            <w:hideMark/>
          </w:tcPr>
          <w:p w14:paraId="426E118A" w14:textId="0D6F227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$274,421.43 </w:t>
            </w:r>
          </w:p>
        </w:tc>
        <w:tc>
          <w:tcPr>
            <w:tcW w:w="1026" w:type="dxa"/>
            <w:noWrap/>
            <w:hideMark/>
          </w:tcPr>
          <w:p w14:paraId="13A3B640" w14:textId="0799A74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   </w:t>
            </w:r>
          </w:p>
        </w:tc>
        <w:tc>
          <w:tcPr>
            <w:tcW w:w="1165" w:type="dxa"/>
            <w:noWrap/>
            <w:hideMark/>
          </w:tcPr>
          <w:p w14:paraId="0A9363EF" w14:textId="0A09768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r>
      <w:tr w:rsidR="00EF1A6A" w:rsidRPr="007A4710" w14:paraId="3F81CFA4" w14:textId="77777777" w:rsidTr="00EF1A6A">
        <w:trPr>
          <w:trHeight w:val="268"/>
        </w:trPr>
        <w:tc>
          <w:tcPr>
            <w:tcW w:w="2495" w:type="dxa"/>
            <w:noWrap/>
            <w:hideMark/>
          </w:tcPr>
          <w:p w14:paraId="2B0E9FE9" w14:textId="71C369EF"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EMD Facilities </w:t>
            </w:r>
            <w:proofErr w:type="spellStart"/>
            <w:r w:rsidRPr="007A4710">
              <w:rPr>
                <w:rFonts w:asciiTheme="majorHAnsi" w:hAnsiTheme="majorHAnsi" w:cstheme="majorHAnsi"/>
                <w:sz w:val="14"/>
                <w:szCs w:val="14"/>
              </w:rPr>
              <w:t>Maint</w:t>
            </w:r>
            <w:proofErr w:type="spellEnd"/>
            <w:r w:rsidRPr="007A4710">
              <w:rPr>
                <w:rFonts w:asciiTheme="majorHAnsi" w:hAnsiTheme="majorHAnsi" w:cstheme="majorHAnsi"/>
                <w:sz w:val="14"/>
                <w:szCs w:val="14"/>
              </w:rPr>
              <w:t xml:space="preserve">. Upgrade </w:t>
            </w:r>
            <w:proofErr w:type="spellStart"/>
            <w:r w:rsidRPr="007A4710">
              <w:rPr>
                <w:rFonts w:asciiTheme="majorHAnsi" w:hAnsiTheme="majorHAnsi" w:cstheme="majorHAnsi"/>
                <w:sz w:val="14"/>
                <w:szCs w:val="14"/>
              </w:rPr>
              <w:t>Plmb</w:t>
            </w:r>
            <w:proofErr w:type="spellEnd"/>
            <w:r w:rsidRPr="007A4710">
              <w:rPr>
                <w:rFonts w:asciiTheme="majorHAnsi" w:hAnsiTheme="majorHAnsi" w:cstheme="majorHAnsi"/>
                <w:sz w:val="14"/>
                <w:szCs w:val="14"/>
              </w:rPr>
              <w:t>/HVAC LTG</w:t>
            </w:r>
          </w:p>
        </w:tc>
        <w:tc>
          <w:tcPr>
            <w:tcW w:w="864" w:type="dxa"/>
            <w:noWrap/>
            <w:hideMark/>
          </w:tcPr>
          <w:p w14:paraId="6B198A41" w14:textId="2985B37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5.9%</w:t>
            </w:r>
          </w:p>
        </w:tc>
        <w:tc>
          <w:tcPr>
            <w:tcW w:w="1005" w:type="dxa"/>
            <w:noWrap/>
            <w:hideMark/>
          </w:tcPr>
          <w:p w14:paraId="4DD9CCEF" w14:textId="0C8A194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$885,990 </w:t>
            </w:r>
          </w:p>
        </w:tc>
        <w:tc>
          <w:tcPr>
            <w:tcW w:w="1026" w:type="dxa"/>
            <w:noWrap/>
            <w:hideMark/>
          </w:tcPr>
          <w:p w14:paraId="3797C743" w14:textId="704CCAB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$52,476 </w:t>
            </w:r>
          </w:p>
        </w:tc>
        <w:tc>
          <w:tcPr>
            <w:tcW w:w="1187" w:type="dxa"/>
            <w:noWrap/>
            <w:hideMark/>
          </w:tcPr>
          <w:p w14:paraId="54C43865" w14:textId="691476E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0.8%</w:t>
            </w:r>
          </w:p>
        </w:tc>
        <w:tc>
          <w:tcPr>
            <w:tcW w:w="1312" w:type="dxa"/>
            <w:noWrap/>
            <w:hideMark/>
          </w:tcPr>
          <w:p w14:paraId="06B4597B" w14:textId="1683EB0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$901,445.34 </w:t>
            </w:r>
          </w:p>
        </w:tc>
        <w:tc>
          <w:tcPr>
            <w:tcW w:w="1026" w:type="dxa"/>
            <w:noWrap/>
            <w:hideMark/>
          </w:tcPr>
          <w:p w14:paraId="4FD96E8B" w14:textId="6F180DC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   </w:t>
            </w:r>
          </w:p>
        </w:tc>
        <w:tc>
          <w:tcPr>
            <w:tcW w:w="1165" w:type="dxa"/>
            <w:noWrap/>
            <w:hideMark/>
          </w:tcPr>
          <w:p w14:paraId="6372A070" w14:textId="0C14943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r>
      <w:tr w:rsidR="00EF1A6A" w:rsidRPr="007A4710" w14:paraId="00DAF9E3" w14:textId="77777777" w:rsidTr="00EF1A6A">
        <w:trPr>
          <w:trHeight w:val="268"/>
        </w:trPr>
        <w:tc>
          <w:tcPr>
            <w:tcW w:w="2495" w:type="dxa"/>
            <w:noWrap/>
            <w:hideMark/>
          </w:tcPr>
          <w:p w14:paraId="72079014" w14:textId="2AC60ED2"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Green Waste Facility Paving</w:t>
            </w:r>
          </w:p>
        </w:tc>
        <w:tc>
          <w:tcPr>
            <w:tcW w:w="864" w:type="dxa"/>
            <w:noWrap/>
            <w:hideMark/>
          </w:tcPr>
          <w:p w14:paraId="272F56BD" w14:textId="4940A46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5E1F53B8" w14:textId="6EDD833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$222,300 </w:t>
            </w:r>
          </w:p>
        </w:tc>
        <w:tc>
          <w:tcPr>
            <w:tcW w:w="1026" w:type="dxa"/>
            <w:noWrap/>
            <w:hideMark/>
          </w:tcPr>
          <w:p w14:paraId="72DBA97C" w14:textId="7C7CDBA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$23,181 </w:t>
            </w:r>
          </w:p>
        </w:tc>
        <w:tc>
          <w:tcPr>
            <w:tcW w:w="1187" w:type="dxa"/>
            <w:noWrap/>
            <w:hideMark/>
          </w:tcPr>
          <w:p w14:paraId="7001EC9C" w14:textId="43E85E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2.0%</w:t>
            </w:r>
          </w:p>
        </w:tc>
        <w:tc>
          <w:tcPr>
            <w:tcW w:w="1312" w:type="dxa"/>
            <w:noWrap/>
            <w:hideMark/>
          </w:tcPr>
          <w:p w14:paraId="14DF1289" w14:textId="75D7F3D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$225,857.38 </w:t>
            </w:r>
          </w:p>
        </w:tc>
        <w:tc>
          <w:tcPr>
            <w:tcW w:w="1026" w:type="dxa"/>
            <w:noWrap/>
            <w:hideMark/>
          </w:tcPr>
          <w:p w14:paraId="4CD6E0F8" w14:textId="1260BF9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$43,090 </w:t>
            </w:r>
          </w:p>
        </w:tc>
        <w:tc>
          <w:tcPr>
            <w:tcW w:w="1165" w:type="dxa"/>
            <w:noWrap/>
            <w:hideMark/>
          </w:tcPr>
          <w:p w14:paraId="6A8163B5" w14:textId="04CC9A6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19.1%</w:t>
            </w:r>
          </w:p>
        </w:tc>
      </w:tr>
      <w:tr w:rsidR="00EF1A6A" w:rsidRPr="007A4710" w14:paraId="29B12087" w14:textId="77777777" w:rsidTr="00EF1A6A">
        <w:trPr>
          <w:trHeight w:val="268"/>
        </w:trPr>
        <w:tc>
          <w:tcPr>
            <w:tcW w:w="2495" w:type="dxa"/>
            <w:noWrap/>
            <w:hideMark/>
          </w:tcPr>
          <w:p w14:paraId="6BB138DA" w14:textId="55C55529"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Harvard - Admiral to Pine</w:t>
            </w:r>
          </w:p>
        </w:tc>
        <w:tc>
          <w:tcPr>
            <w:tcW w:w="864" w:type="dxa"/>
            <w:noWrap/>
            <w:hideMark/>
          </w:tcPr>
          <w:p w14:paraId="08DEF6AA" w14:textId="3803637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6.1%</w:t>
            </w:r>
          </w:p>
        </w:tc>
        <w:tc>
          <w:tcPr>
            <w:tcW w:w="1005" w:type="dxa"/>
            <w:noWrap/>
            <w:hideMark/>
          </w:tcPr>
          <w:p w14:paraId="6CA99353" w14:textId="74C7E88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$3,528,673 </w:t>
            </w:r>
          </w:p>
        </w:tc>
        <w:tc>
          <w:tcPr>
            <w:tcW w:w="1026" w:type="dxa"/>
            <w:noWrap/>
            <w:hideMark/>
          </w:tcPr>
          <w:p w14:paraId="4085C080" w14:textId="1A34BCC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$134,000 </w:t>
            </w:r>
          </w:p>
        </w:tc>
        <w:tc>
          <w:tcPr>
            <w:tcW w:w="1187" w:type="dxa"/>
            <w:noWrap/>
            <w:hideMark/>
          </w:tcPr>
          <w:p w14:paraId="6636D753" w14:textId="2F29F83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2.8%</w:t>
            </w:r>
          </w:p>
        </w:tc>
        <w:tc>
          <w:tcPr>
            <w:tcW w:w="1312" w:type="dxa"/>
            <w:noWrap/>
            <w:hideMark/>
          </w:tcPr>
          <w:p w14:paraId="60EF6969" w14:textId="74BD071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$4,127,814.51 </w:t>
            </w:r>
          </w:p>
        </w:tc>
        <w:tc>
          <w:tcPr>
            <w:tcW w:w="1026" w:type="dxa"/>
            <w:noWrap/>
            <w:hideMark/>
          </w:tcPr>
          <w:p w14:paraId="5BABCE50" w14:textId="6288DA4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$79,488 </w:t>
            </w:r>
          </w:p>
        </w:tc>
        <w:tc>
          <w:tcPr>
            <w:tcW w:w="1165" w:type="dxa"/>
            <w:noWrap/>
            <w:hideMark/>
          </w:tcPr>
          <w:p w14:paraId="6916C5DA" w14:textId="110A54E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1.9%</w:t>
            </w:r>
          </w:p>
        </w:tc>
      </w:tr>
      <w:tr w:rsidR="00EF1A6A" w:rsidRPr="007A4710" w14:paraId="450241B4" w14:textId="77777777" w:rsidTr="00EF1A6A">
        <w:trPr>
          <w:trHeight w:val="268"/>
        </w:trPr>
        <w:tc>
          <w:tcPr>
            <w:tcW w:w="2495" w:type="dxa"/>
            <w:noWrap/>
            <w:hideMark/>
          </w:tcPr>
          <w:p w14:paraId="0B3996D7" w14:textId="2F38AC7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Hunter Park Playground</w:t>
            </w:r>
          </w:p>
        </w:tc>
        <w:tc>
          <w:tcPr>
            <w:tcW w:w="864" w:type="dxa"/>
            <w:noWrap/>
            <w:hideMark/>
          </w:tcPr>
          <w:p w14:paraId="3B5C67A2" w14:textId="1CBBEC9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3.8%</w:t>
            </w:r>
          </w:p>
        </w:tc>
        <w:tc>
          <w:tcPr>
            <w:tcW w:w="1005" w:type="dxa"/>
            <w:noWrap/>
            <w:hideMark/>
          </w:tcPr>
          <w:p w14:paraId="63008E29" w14:textId="7568B80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$335,786 </w:t>
            </w:r>
          </w:p>
        </w:tc>
        <w:tc>
          <w:tcPr>
            <w:tcW w:w="1026" w:type="dxa"/>
            <w:noWrap/>
            <w:hideMark/>
          </w:tcPr>
          <w:p w14:paraId="275AB2B5" w14:textId="6C0B55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$12,705 </w:t>
            </w:r>
          </w:p>
        </w:tc>
        <w:tc>
          <w:tcPr>
            <w:tcW w:w="1187" w:type="dxa"/>
            <w:noWrap/>
            <w:hideMark/>
          </w:tcPr>
          <w:p w14:paraId="5D868E3D" w14:textId="5B6D560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3.8%</w:t>
            </w:r>
          </w:p>
        </w:tc>
        <w:tc>
          <w:tcPr>
            <w:tcW w:w="1312" w:type="dxa"/>
            <w:noWrap/>
            <w:hideMark/>
          </w:tcPr>
          <w:p w14:paraId="0E0B94C0" w14:textId="3B82F2E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$332,791.33 </w:t>
            </w:r>
          </w:p>
        </w:tc>
        <w:tc>
          <w:tcPr>
            <w:tcW w:w="1026" w:type="dxa"/>
            <w:noWrap/>
            <w:hideMark/>
          </w:tcPr>
          <w:p w14:paraId="6D565460" w14:textId="731D624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$12,705 </w:t>
            </w:r>
          </w:p>
        </w:tc>
        <w:tc>
          <w:tcPr>
            <w:tcW w:w="1165" w:type="dxa"/>
            <w:noWrap/>
            <w:hideMark/>
          </w:tcPr>
          <w:p w14:paraId="23EFE3C8" w14:textId="18F66C4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3.8%</w:t>
            </w:r>
          </w:p>
        </w:tc>
      </w:tr>
      <w:tr w:rsidR="00EF1A6A" w:rsidRPr="007A4710" w14:paraId="0BEBCA87" w14:textId="77777777" w:rsidTr="00EF1A6A">
        <w:trPr>
          <w:trHeight w:val="268"/>
        </w:trPr>
        <w:tc>
          <w:tcPr>
            <w:tcW w:w="2495" w:type="dxa"/>
            <w:noWrap/>
            <w:hideMark/>
          </w:tcPr>
          <w:p w14:paraId="029F6C43" w14:textId="73147AA6"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Joe Creek Channel Rehab</w:t>
            </w:r>
          </w:p>
        </w:tc>
        <w:tc>
          <w:tcPr>
            <w:tcW w:w="864" w:type="dxa"/>
            <w:noWrap/>
            <w:hideMark/>
          </w:tcPr>
          <w:p w14:paraId="3908FFF6" w14:textId="139975C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29504DFF" w14:textId="7507C78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$892,820 </w:t>
            </w:r>
          </w:p>
        </w:tc>
        <w:tc>
          <w:tcPr>
            <w:tcW w:w="1026" w:type="dxa"/>
            <w:noWrap/>
            <w:hideMark/>
          </w:tcPr>
          <w:p w14:paraId="08CD0103" w14:textId="189C148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$245,568 </w:t>
            </w:r>
          </w:p>
        </w:tc>
        <w:tc>
          <w:tcPr>
            <w:tcW w:w="1187" w:type="dxa"/>
            <w:noWrap/>
            <w:hideMark/>
          </w:tcPr>
          <w:p w14:paraId="3BAC8D9B" w14:textId="618A5F6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51.1%</w:t>
            </w:r>
          </w:p>
        </w:tc>
        <w:tc>
          <w:tcPr>
            <w:tcW w:w="1312" w:type="dxa"/>
            <w:noWrap/>
            <w:hideMark/>
          </w:tcPr>
          <w:p w14:paraId="65C15204" w14:textId="4D725BA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$932,186.08 </w:t>
            </w:r>
          </w:p>
        </w:tc>
        <w:tc>
          <w:tcPr>
            <w:tcW w:w="1026" w:type="dxa"/>
            <w:noWrap/>
            <w:hideMark/>
          </w:tcPr>
          <w:p w14:paraId="44745412" w14:textId="2FC91FB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$238,587 </w:t>
            </w:r>
          </w:p>
        </w:tc>
        <w:tc>
          <w:tcPr>
            <w:tcW w:w="1165" w:type="dxa"/>
            <w:noWrap/>
            <w:hideMark/>
          </w:tcPr>
          <w:p w14:paraId="3DCA109A" w14:textId="298B52E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25.6%</w:t>
            </w:r>
          </w:p>
        </w:tc>
      </w:tr>
      <w:tr w:rsidR="00EF1A6A" w:rsidRPr="007A4710" w14:paraId="4BBD23B3" w14:textId="77777777" w:rsidTr="00EF1A6A">
        <w:trPr>
          <w:trHeight w:val="268"/>
        </w:trPr>
        <w:tc>
          <w:tcPr>
            <w:tcW w:w="2495" w:type="dxa"/>
            <w:noWrap/>
            <w:hideMark/>
          </w:tcPr>
          <w:p w14:paraId="6FC543B4" w14:textId="1BC37EB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Lewis Estates, Subdivision </w:t>
            </w:r>
            <w:proofErr w:type="spellStart"/>
            <w:proofErr w:type="gramStart"/>
            <w:r w:rsidRPr="007A4710">
              <w:rPr>
                <w:rFonts w:asciiTheme="majorHAnsi" w:hAnsiTheme="majorHAnsi" w:cstheme="majorHAnsi"/>
                <w:sz w:val="14"/>
                <w:szCs w:val="14"/>
              </w:rPr>
              <w:t>S.Lewis</w:t>
            </w:r>
            <w:proofErr w:type="spellEnd"/>
            <w:proofErr w:type="gramEnd"/>
          </w:p>
        </w:tc>
        <w:tc>
          <w:tcPr>
            <w:tcW w:w="864" w:type="dxa"/>
            <w:noWrap/>
            <w:hideMark/>
          </w:tcPr>
          <w:p w14:paraId="7DC34619" w14:textId="67A7690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7653B12" w14:textId="73119AD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$480,185 </w:t>
            </w:r>
          </w:p>
        </w:tc>
        <w:tc>
          <w:tcPr>
            <w:tcW w:w="1026" w:type="dxa"/>
            <w:noWrap/>
            <w:hideMark/>
          </w:tcPr>
          <w:p w14:paraId="11980379" w14:textId="19B4570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$48,420 </w:t>
            </w:r>
          </w:p>
        </w:tc>
        <w:tc>
          <w:tcPr>
            <w:tcW w:w="1187" w:type="dxa"/>
            <w:noWrap/>
            <w:hideMark/>
          </w:tcPr>
          <w:p w14:paraId="0FC9FBF2" w14:textId="5374660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7.6%</w:t>
            </w:r>
          </w:p>
        </w:tc>
        <w:tc>
          <w:tcPr>
            <w:tcW w:w="1312" w:type="dxa"/>
            <w:noWrap/>
            <w:hideMark/>
          </w:tcPr>
          <w:p w14:paraId="52D3353A" w14:textId="0A6C39E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$477,961.51 </w:t>
            </w:r>
          </w:p>
        </w:tc>
        <w:tc>
          <w:tcPr>
            <w:tcW w:w="1026" w:type="dxa"/>
            <w:noWrap/>
            <w:hideMark/>
          </w:tcPr>
          <w:p w14:paraId="0BADC266" w14:textId="2CF30EF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$48,657 </w:t>
            </w:r>
          </w:p>
        </w:tc>
        <w:tc>
          <w:tcPr>
            <w:tcW w:w="1165" w:type="dxa"/>
            <w:noWrap/>
            <w:hideMark/>
          </w:tcPr>
          <w:p w14:paraId="24076BBE" w14:textId="33B2ACA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10.2%</w:t>
            </w:r>
          </w:p>
        </w:tc>
      </w:tr>
      <w:tr w:rsidR="00EF1A6A" w:rsidRPr="007A4710" w14:paraId="4516CF9B" w14:textId="77777777" w:rsidTr="00EF1A6A">
        <w:trPr>
          <w:trHeight w:val="268"/>
        </w:trPr>
        <w:tc>
          <w:tcPr>
            <w:tcW w:w="2495" w:type="dxa"/>
            <w:noWrap/>
            <w:hideMark/>
          </w:tcPr>
          <w:p w14:paraId="320F7567" w14:textId="14D0DBF3"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Mohawk Sports Complex</w:t>
            </w:r>
          </w:p>
        </w:tc>
        <w:tc>
          <w:tcPr>
            <w:tcW w:w="864" w:type="dxa"/>
            <w:noWrap/>
            <w:hideMark/>
          </w:tcPr>
          <w:p w14:paraId="1617AF10" w14:textId="33EC05F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11.0%</w:t>
            </w:r>
          </w:p>
        </w:tc>
        <w:tc>
          <w:tcPr>
            <w:tcW w:w="1005" w:type="dxa"/>
            <w:noWrap/>
            <w:hideMark/>
          </w:tcPr>
          <w:p w14:paraId="25A3A698" w14:textId="000EF05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$3,400,444 </w:t>
            </w:r>
          </w:p>
        </w:tc>
        <w:tc>
          <w:tcPr>
            <w:tcW w:w="1026" w:type="dxa"/>
            <w:noWrap/>
            <w:hideMark/>
          </w:tcPr>
          <w:p w14:paraId="123AEE63" w14:textId="41A519F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$408,350 </w:t>
            </w:r>
          </w:p>
        </w:tc>
        <w:tc>
          <w:tcPr>
            <w:tcW w:w="1187" w:type="dxa"/>
            <w:noWrap/>
            <w:hideMark/>
          </w:tcPr>
          <w:p w14:paraId="79D80548" w14:textId="061E5BB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17.2%</w:t>
            </w:r>
          </w:p>
        </w:tc>
        <w:tc>
          <w:tcPr>
            <w:tcW w:w="1312" w:type="dxa"/>
            <w:noWrap/>
            <w:hideMark/>
          </w:tcPr>
          <w:p w14:paraId="6F4F99A2" w14:textId="7993F4C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$3,985,715.32 </w:t>
            </w:r>
          </w:p>
        </w:tc>
        <w:tc>
          <w:tcPr>
            <w:tcW w:w="1026" w:type="dxa"/>
            <w:noWrap/>
            <w:hideMark/>
          </w:tcPr>
          <w:p w14:paraId="5BC5CD11" w14:textId="7B8870F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$436,280 </w:t>
            </w:r>
          </w:p>
        </w:tc>
        <w:tc>
          <w:tcPr>
            <w:tcW w:w="1165" w:type="dxa"/>
            <w:noWrap/>
            <w:hideMark/>
          </w:tcPr>
          <w:p w14:paraId="4E58F0B3" w14:textId="2C3CC77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10.9%</w:t>
            </w:r>
          </w:p>
        </w:tc>
      </w:tr>
      <w:tr w:rsidR="00EF1A6A" w:rsidRPr="007A4710" w14:paraId="6B843AB4" w14:textId="77777777" w:rsidTr="00EF1A6A">
        <w:trPr>
          <w:trHeight w:val="268"/>
        </w:trPr>
        <w:tc>
          <w:tcPr>
            <w:tcW w:w="2495" w:type="dxa"/>
            <w:noWrap/>
            <w:hideMark/>
          </w:tcPr>
          <w:p w14:paraId="17273937" w14:textId="76E06624"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MZ 1076 St Rehab &amp; Bridge 189</w:t>
            </w:r>
          </w:p>
        </w:tc>
        <w:tc>
          <w:tcPr>
            <w:tcW w:w="864" w:type="dxa"/>
            <w:noWrap/>
            <w:hideMark/>
          </w:tcPr>
          <w:p w14:paraId="56CAA688" w14:textId="44FADD1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9.1%</w:t>
            </w:r>
          </w:p>
        </w:tc>
        <w:tc>
          <w:tcPr>
            <w:tcW w:w="1005" w:type="dxa"/>
            <w:noWrap/>
            <w:hideMark/>
          </w:tcPr>
          <w:p w14:paraId="3763880C" w14:textId="0FBB22D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$2,378,000 </w:t>
            </w:r>
          </w:p>
        </w:tc>
        <w:tc>
          <w:tcPr>
            <w:tcW w:w="1026" w:type="dxa"/>
            <w:noWrap/>
            <w:hideMark/>
          </w:tcPr>
          <w:p w14:paraId="006709A2" w14:textId="126780A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$241,453 </w:t>
            </w:r>
          </w:p>
        </w:tc>
        <w:tc>
          <w:tcPr>
            <w:tcW w:w="1187" w:type="dxa"/>
            <w:noWrap/>
            <w:hideMark/>
          </w:tcPr>
          <w:p w14:paraId="0BE93417" w14:textId="7575BAE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45.7%</w:t>
            </w:r>
          </w:p>
        </w:tc>
        <w:tc>
          <w:tcPr>
            <w:tcW w:w="1312" w:type="dxa"/>
            <w:noWrap/>
            <w:hideMark/>
          </w:tcPr>
          <w:p w14:paraId="0C801E97" w14:textId="0DE53A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$2,972,746.08 </w:t>
            </w:r>
          </w:p>
        </w:tc>
        <w:tc>
          <w:tcPr>
            <w:tcW w:w="1026" w:type="dxa"/>
            <w:noWrap/>
            <w:hideMark/>
          </w:tcPr>
          <w:p w14:paraId="2A224C9B" w14:textId="1E4A195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$271,241 </w:t>
            </w:r>
          </w:p>
        </w:tc>
        <w:tc>
          <w:tcPr>
            <w:tcW w:w="1165" w:type="dxa"/>
            <w:noWrap/>
            <w:hideMark/>
          </w:tcPr>
          <w:p w14:paraId="00E1A504" w14:textId="7FEE1A6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9.1%</w:t>
            </w:r>
          </w:p>
        </w:tc>
      </w:tr>
      <w:tr w:rsidR="00EF1A6A" w:rsidRPr="007A4710" w14:paraId="38C23C87" w14:textId="77777777" w:rsidTr="00EF1A6A">
        <w:trPr>
          <w:trHeight w:val="268"/>
        </w:trPr>
        <w:tc>
          <w:tcPr>
            <w:tcW w:w="2495" w:type="dxa"/>
            <w:noWrap/>
            <w:hideMark/>
          </w:tcPr>
          <w:p w14:paraId="4ACD0AB2" w14:textId="294BAA63"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Newport Ave Storm Sewer Improvements</w:t>
            </w:r>
          </w:p>
        </w:tc>
        <w:tc>
          <w:tcPr>
            <w:tcW w:w="864" w:type="dxa"/>
            <w:noWrap/>
            <w:hideMark/>
          </w:tcPr>
          <w:p w14:paraId="3720250F" w14:textId="2B86E6E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6.1%</w:t>
            </w:r>
          </w:p>
        </w:tc>
        <w:tc>
          <w:tcPr>
            <w:tcW w:w="1005" w:type="dxa"/>
            <w:noWrap/>
            <w:hideMark/>
          </w:tcPr>
          <w:p w14:paraId="673A747B" w14:textId="56A223B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$473,369 </w:t>
            </w:r>
          </w:p>
        </w:tc>
        <w:tc>
          <w:tcPr>
            <w:tcW w:w="1026" w:type="dxa"/>
            <w:noWrap/>
            <w:hideMark/>
          </w:tcPr>
          <w:p w14:paraId="48939030" w14:textId="6BCCF6A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$29,000 </w:t>
            </w:r>
          </w:p>
        </w:tc>
        <w:tc>
          <w:tcPr>
            <w:tcW w:w="1187" w:type="dxa"/>
            <w:noWrap/>
            <w:hideMark/>
          </w:tcPr>
          <w:p w14:paraId="600F64CA" w14:textId="19E3EDF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6.1%</w:t>
            </w:r>
          </w:p>
        </w:tc>
        <w:tc>
          <w:tcPr>
            <w:tcW w:w="1312" w:type="dxa"/>
            <w:noWrap/>
            <w:hideMark/>
          </w:tcPr>
          <w:p w14:paraId="499A940A" w14:textId="6F4D08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$577,320.10 </w:t>
            </w:r>
          </w:p>
        </w:tc>
        <w:tc>
          <w:tcPr>
            <w:tcW w:w="1026" w:type="dxa"/>
            <w:noWrap/>
            <w:hideMark/>
          </w:tcPr>
          <w:p w14:paraId="4A2E2ABC" w14:textId="306BE21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$63,969 </w:t>
            </w:r>
          </w:p>
        </w:tc>
        <w:tc>
          <w:tcPr>
            <w:tcW w:w="1165" w:type="dxa"/>
            <w:noWrap/>
            <w:hideMark/>
          </w:tcPr>
          <w:p w14:paraId="682A45BC" w14:textId="4BF20FE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11.1%</w:t>
            </w:r>
          </w:p>
        </w:tc>
      </w:tr>
      <w:tr w:rsidR="00EF1A6A" w:rsidRPr="007A4710" w14:paraId="2BD0F9FF" w14:textId="77777777" w:rsidTr="00EF1A6A">
        <w:trPr>
          <w:trHeight w:val="268"/>
        </w:trPr>
        <w:tc>
          <w:tcPr>
            <w:tcW w:w="2495" w:type="dxa"/>
            <w:noWrap/>
            <w:hideMark/>
          </w:tcPr>
          <w:p w14:paraId="0E98CADB" w14:textId="730C5EDB"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Non-Art St. Rehab MZ 1157N</w:t>
            </w:r>
          </w:p>
        </w:tc>
        <w:tc>
          <w:tcPr>
            <w:tcW w:w="864" w:type="dxa"/>
            <w:noWrap/>
            <w:hideMark/>
          </w:tcPr>
          <w:p w14:paraId="16AAF5CC" w14:textId="5E69D72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6.4%</w:t>
            </w:r>
          </w:p>
        </w:tc>
        <w:tc>
          <w:tcPr>
            <w:tcW w:w="1005" w:type="dxa"/>
            <w:noWrap/>
            <w:hideMark/>
          </w:tcPr>
          <w:p w14:paraId="37A45C77" w14:textId="065238B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$3,195,910 </w:t>
            </w:r>
          </w:p>
        </w:tc>
        <w:tc>
          <w:tcPr>
            <w:tcW w:w="1026" w:type="dxa"/>
            <w:noWrap/>
            <w:hideMark/>
          </w:tcPr>
          <w:p w14:paraId="377C1467" w14:textId="713ED49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$444,072 </w:t>
            </w:r>
          </w:p>
        </w:tc>
        <w:tc>
          <w:tcPr>
            <w:tcW w:w="1187" w:type="dxa"/>
            <w:noWrap/>
            <w:hideMark/>
          </w:tcPr>
          <w:p w14:paraId="2E277EB9" w14:textId="67C5902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13.9%</w:t>
            </w:r>
          </w:p>
        </w:tc>
        <w:tc>
          <w:tcPr>
            <w:tcW w:w="1312" w:type="dxa"/>
            <w:noWrap/>
            <w:hideMark/>
          </w:tcPr>
          <w:p w14:paraId="3C3547BD" w14:textId="0E1C2FD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$3,279,726.51 </w:t>
            </w:r>
          </w:p>
        </w:tc>
        <w:tc>
          <w:tcPr>
            <w:tcW w:w="1026" w:type="dxa"/>
            <w:noWrap/>
            <w:hideMark/>
          </w:tcPr>
          <w:p w14:paraId="630DF0E7" w14:textId="78D6C02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$604,815 </w:t>
            </w:r>
          </w:p>
        </w:tc>
        <w:tc>
          <w:tcPr>
            <w:tcW w:w="1165" w:type="dxa"/>
            <w:noWrap/>
            <w:hideMark/>
          </w:tcPr>
          <w:p w14:paraId="28DFC68E" w14:textId="429AA4E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18.4%</w:t>
            </w:r>
          </w:p>
        </w:tc>
      </w:tr>
      <w:tr w:rsidR="00EF1A6A" w:rsidRPr="007A4710" w14:paraId="253C24EF" w14:textId="77777777" w:rsidTr="00EF1A6A">
        <w:trPr>
          <w:trHeight w:val="268"/>
        </w:trPr>
        <w:tc>
          <w:tcPr>
            <w:tcW w:w="2495" w:type="dxa"/>
            <w:noWrap/>
            <w:hideMark/>
          </w:tcPr>
          <w:p w14:paraId="0B137F43" w14:textId="4FAC7515"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Non-Arterial St Rehab &amp; Waterline </w:t>
            </w:r>
            <w:proofErr w:type="spellStart"/>
            <w:r w:rsidRPr="007A4710">
              <w:rPr>
                <w:rFonts w:asciiTheme="majorHAnsi" w:hAnsiTheme="majorHAnsi" w:cstheme="majorHAnsi"/>
                <w:sz w:val="14"/>
                <w:szCs w:val="14"/>
              </w:rPr>
              <w:t>Replc</w:t>
            </w:r>
            <w:proofErr w:type="spellEnd"/>
            <w:r w:rsidRPr="007A4710">
              <w:rPr>
                <w:rFonts w:asciiTheme="majorHAnsi" w:hAnsiTheme="majorHAnsi" w:cstheme="majorHAnsi"/>
                <w:sz w:val="14"/>
                <w:szCs w:val="14"/>
              </w:rPr>
              <w:t xml:space="preserve"> in MZ 4015</w:t>
            </w:r>
          </w:p>
        </w:tc>
        <w:tc>
          <w:tcPr>
            <w:tcW w:w="864" w:type="dxa"/>
            <w:noWrap/>
            <w:hideMark/>
          </w:tcPr>
          <w:p w14:paraId="0605D5BB" w14:textId="7F2C03C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9.9%</w:t>
            </w:r>
          </w:p>
        </w:tc>
        <w:tc>
          <w:tcPr>
            <w:tcW w:w="1005" w:type="dxa"/>
            <w:noWrap/>
            <w:hideMark/>
          </w:tcPr>
          <w:p w14:paraId="28E516BD" w14:textId="3E8A0F2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$641,091 </w:t>
            </w:r>
          </w:p>
        </w:tc>
        <w:tc>
          <w:tcPr>
            <w:tcW w:w="1026" w:type="dxa"/>
            <w:noWrap/>
            <w:hideMark/>
          </w:tcPr>
          <w:p w14:paraId="77A62626" w14:textId="1B05BCD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$63,125 </w:t>
            </w:r>
          </w:p>
        </w:tc>
        <w:tc>
          <w:tcPr>
            <w:tcW w:w="1187" w:type="dxa"/>
            <w:noWrap/>
            <w:hideMark/>
          </w:tcPr>
          <w:p w14:paraId="3C1289AC" w14:textId="6D2D424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9.8%</w:t>
            </w:r>
          </w:p>
        </w:tc>
        <w:tc>
          <w:tcPr>
            <w:tcW w:w="1312" w:type="dxa"/>
            <w:noWrap/>
            <w:hideMark/>
          </w:tcPr>
          <w:p w14:paraId="2E386DB7" w14:textId="765534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$560,604.93 </w:t>
            </w:r>
          </w:p>
        </w:tc>
        <w:tc>
          <w:tcPr>
            <w:tcW w:w="1026" w:type="dxa"/>
            <w:noWrap/>
            <w:hideMark/>
          </w:tcPr>
          <w:p w14:paraId="45D5E457" w14:textId="607F82D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$89,991 </w:t>
            </w:r>
          </w:p>
        </w:tc>
        <w:tc>
          <w:tcPr>
            <w:tcW w:w="1165" w:type="dxa"/>
            <w:noWrap/>
            <w:hideMark/>
          </w:tcPr>
          <w:p w14:paraId="39A5B5CC" w14:textId="2E141C3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16.1%</w:t>
            </w:r>
          </w:p>
        </w:tc>
      </w:tr>
      <w:tr w:rsidR="00EF1A6A" w:rsidRPr="007A4710" w14:paraId="5A031875" w14:textId="77777777" w:rsidTr="00EF1A6A">
        <w:trPr>
          <w:trHeight w:val="268"/>
        </w:trPr>
        <w:tc>
          <w:tcPr>
            <w:tcW w:w="2495" w:type="dxa"/>
            <w:noWrap/>
            <w:hideMark/>
          </w:tcPr>
          <w:p w14:paraId="0F61A5CA" w14:textId="5AC7134B"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Non-Arterial St Rehab for MZ 7048</w:t>
            </w:r>
          </w:p>
        </w:tc>
        <w:tc>
          <w:tcPr>
            <w:tcW w:w="864" w:type="dxa"/>
            <w:noWrap/>
            <w:hideMark/>
          </w:tcPr>
          <w:p w14:paraId="3021FC5E" w14:textId="7394F7E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22DB6EA7" w14:textId="001CE47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$1,097,000 </w:t>
            </w:r>
          </w:p>
        </w:tc>
        <w:tc>
          <w:tcPr>
            <w:tcW w:w="1026" w:type="dxa"/>
            <w:noWrap/>
            <w:hideMark/>
          </w:tcPr>
          <w:p w14:paraId="5730C19A" w14:textId="22CC1FD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$110,378 </w:t>
            </w:r>
          </w:p>
        </w:tc>
        <w:tc>
          <w:tcPr>
            <w:tcW w:w="1187" w:type="dxa"/>
            <w:noWrap/>
            <w:hideMark/>
          </w:tcPr>
          <w:p w14:paraId="04800EFC" w14:textId="6E020E4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14.0%</w:t>
            </w:r>
          </w:p>
        </w:tc>
        <w:tc>
          <w:tcPr>
            <w:tcW w:w="1312" w:type="dxa"/>
            <w:noWrap/>
            <w:hideMark/>
          </w:tcPr>
          <w:p w14:paraId="3FCB8B73" w14:textId="21629BE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$1,015,884.12 </w:t>
            </w:r>
          </w:p>
        </w:tc>
        <w:tc>
          <w:tcPr>
            <w:tcW w:w="1026" w:type="dxa"/>
            <w:noWrap/>
            <w:hideMark/>
          </w:tcPr>
          <w:p w14:paraId="7EB19390" w14:textId="1B8E513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$216,685 </w:t>
            </w:r>
          </w:p>
        </w:tc>
        <w:tc>
          <w:tcPr>
            <w:tcW w:w="1165" w:type="dxa"/>
            <w:noWrap/>
            <w:hideMark/>
          </w:tcPr>
          <w:p w14:paraId="7D7704E1" w14:textId="55353F9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21.3%</w:t>
            </w:r>
          </w:p>
        </w:tc>
      </w:tr>
      <w:tr w:rsidR="00EF1A6A" w:rsidRPr="007A4710" w14:paraId="31FE1B8B" w14:textId="77777777" w:rsidTr="00EF1A6A">
        <w:trPr>
          <w:trHeight w:val="268"/>
        </w:trPr>
        <w:tc>
          <w:tcPr>
            <w:tcW w:w="2495" w:type="dxa"/>
            <w:noWrap/>
            <w:hideMark/>
          </w:tcPr>
          <w:p w14:paraId="43CE2FEC" w14:textId="1A9C990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Non-Arterial St Rehab MZ 9058</w:t>
            </w:r>
          </w:p>
        </w:tc>
        <w:tc>
          <w:tcPr>
            <w:tcW w:w="864" w:type="dxa"/>
            <w:noWrap/>
            <w:hideMark/>
          </w:tcPr>
          <w:p w14:paraId="58114E65" w14:textId="79F804D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#DIV/0!</w:t>
            </w:r>
          </w:p>
        </w:tc>
        <w:tc>
          <w:tcPr>
            <w:tcW w:w="1005" w:type="dxa"/>
            <w:noWrap/>
            <w:hideMark/>
          </w:tcPr>
          <w:p w14:paraId="2AF9547B" w14:textId="020B119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$834,000 </w:t>
            </w:r>
          </w:p>
        </w:tc>
        <w:tc>
          <w:tcPr>
            <w:tcW w:w="1026" w:type="dxa"/>
            <w:noWrap/>
            <w:hideMark/>
          </w:tcPr>
          <w:p w14:paraId="3A2AB9B7" w14:textId="3AEF4FE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$83,420 </w:t>
            </w:r>
          </w:p>
        </w:tc>
        <w:tc>
          <w:tcPr>
            <w:tcW w:w="1187" w:type="dxa"/>
            <w:noWrap/>
            <w:hideMark/>
          </w:tcPr>
          <w:p w14:paraId="142382D1" w14:textId="69AC38C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0.7%</w:t>
            </w:r>
          </w:p>
        </w:tc>
        <w:tc>
          <w:tcPr>
            <w:tcW w:w="1312" w:type="dxa"/>
            <w:noWrap/>
            <w:hideMark/>
          </w:tcPr>
          <w:p w14:paraId="315E3D88" w14:textId="2BCB843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$887,340.04 </w:t>
            </w:r>
          </w:p>
        </w:tc>
        <w:tc>
          <w:tcPr>
            <w:tcW w:w="1026" w:type="dxa"/>
            <w:noWrap/>
            <w:hideMark/>
          </w:tcPr>
          <w:p w14:paraId="076B4754" w14:textId="0F25601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$160,797 </w:t>
            </w:r>
          </w:p>
        </w:tc>
        <w:tc>
          <w:tcPr>
            <w:tcW w:w="1165" w:type="dxa"/>
            <w:noWrap/>
            <w:hideMark/>
          </w:tcPr>
          <w:p w14:paraId="399C087B" w14:textId="6721486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18.1%</w:t>
            </w:r>
          </w:p>
        </w:tc>
      </w:tr>
      <w:tr w:rsidR="00EF1A6A" w:rsidRPr="007A4710" w14:paraId="5F60F40D" w14:textId="77777777" w:rsidTr="00EF1A6A">
        <w:trPr>
          <w:trHeight w:val="268"/>
        </w:trPr>
        <w:tc>
          <w:tcPr>
            <w:tcW w:w="2495" w:type="dxa"/>
            <w:noWrap/>
            <w:hideMark/>
          </w:tcPr>
          <w:p w14:paraId="7C737A8F" w14:textId="5CBE60F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Non-Arterial St Rehab Z 6035</w:t>
            </w:r>
          </w:p>
        </w:tc>
        <w:tc>
          <w:tcPr>
            <w:tcW w:w="864" w:type="dxa"/>
            <w:noWrap/>
            <w:hideMark/>
          </w:tcPr>
          <w:p w14:paraId="7531C2B2" w14:textId="41A0A0B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1072585" w14:textId="63755E0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$2,755,000 </w:t>
            </w:r>
          </w:p>
        </w:tc>
        <w:tc>
          <w:tcPr>
            <w:tcW w:w="1026" w:type="dxa"/>
            <w:noWrap/>
            <w:hideMark/>
          </w:tcPr>
          <w:p w14:paraId="5A3726B9" w14:textId="097B523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$276,605 </w:t>
            </w:r>
          </w:p>
        </w:tc>
        <w:tc>
          <w:tcPr>
            <w:tcW w:w="1187" w:type="dxa"/>
            <w:noWrap/>
            <w:hideMark/>
          </w:tcPr>
          <w:p w14:paraId="10D56505" w14:textId="4ABA9B6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101.0%</w:t>
            </w:r>
          </w:p>
        </w:tc>
        <w:tc>
          <w:tcPr>
            <w:tcW w:w="1312" w:type="dxa"/>
            <w:noWrap/>
            <w:hideMark/>
          </w:tcPr>
          <w:p w14:paraId="6591342D" w14:textId="549ABF7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$3,122,157.97 </w:t>
            </w:r>
          </w:p>
        </w:tc>
        <w:tc>
          <w:tcPr>
            <w:tcW w:w="1026" w:type="dxa"/>
            <w:noWrap/>
            <w:hideMark/>
          </w:tcPr>
          <w:p w14:paraId="0E8B8781" w14:textId="50CF1C5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$284,605 </w:t>
            </w:r>
          </w:p>
        </w:tc>
        <w:tc>
          <w:tcPr>
            <w:tcW w:w="1165" w:type="dxa"/>
            <w:noWrap/>
            <w:hideMark/>
          </w:tcPr>
          <w:p w14:paraId="19DA1B95" w14:textId="0821A9D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9.1%</w:t>
            </w:r>
          </w:p>
        </w:tc>
      </w:tr>
      <w:tr w:rsidR="00EF1A6A" w:rsidRPr="007A4710" w14:paraId="7C290D31" w14:textId="77777777" w:rsidTr="00EF1A6A">
        <w:trPr>
          <w:trHeight w:val="268"/>
        </w:trPr>
        <w:tc>
          <w:tcPr>
            <w:tcW w:w="2495" w:type="dxa"/>
            <w:noWrap/>
            <w:hideMark/>
          </w:tcPr>
          <w:p w14:paraId="257F7728" w14:textId="21516017"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proofErr w:type="spellStart"/>
            <w:r w:rsidRPr="007A4710">
              <w:rPr>
                <w:rFonts w:asciiTheme="majorHAnsi" w:hAnsiTheme="majorHAnsi" w:cstheme="majorHAnsi"/>
                <w:sz w:val="14"/>
                <w:szCs w:val="14"/>
              </w:rPr>
              <w:t>Ogans</w:t>
            </w:r>
            <w:proofErr w:type="spellEnd"/>
            <w:r w:rsidRPr="007A4710">
              <w:rPr>
                <w:rFonts w:asciiTheme="majorHAnsi" w:hAnsiTheme="majorHAnsi" w:cstheme="majorHAnsi"/>
                <w:sz w:val="14"/>
                <w:szCs w:val="14"/>
              </w:rPr>
              <w:t xml:space="preserve"> Circle Entry Enhancement</w:t>
            </w:r>
          </w:p>
        </w:tc>
        <w:tc>
          <w:tcPr>
            <w:tcW w:w="864" w:type="dxa"/>
            <w:noWrap/>
            <w:hideMark/>
          </w:tcPr>
          <w:p w14:paraId="260B0A9B" w14:textId="371516F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1.4%</w:t>
            </w:r>
          </w:p>
        </w:tc>
        <w:tc>
          <w:tcPr>
            <w:tcW w:w="1005" w:type="dxa"/>
            <w:noWrap/>
            <w:hideMark/>
          </w:tcPr>
          <w:p w14:paraId="10A2A451" w14:textId="13A8372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$127,817 </w:t>
            </w:r>
          </w:p>
        </w:tc>
        <w:tc>
          <w:tcPr>
            <w:tcW w:w="1026" w:type="dxa"/>
            <w:noWrap/>
            <w:hideMark/>
          </w:tcPr>
          <w:p w14:paraId="4A868041" w14:textId="4BFB1D5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$3,375 </w:t>
            </w:r>
          </w:p>
        </w:tc>
        <w:tc>
          <w:tcPr>
            <w:tcW w:w="1187" w:type="dxa"/>
            <w:noWrap/>
            <w:hideMark/>
          </w:tcPr>
          <w:p w14:paraId="24F32CBC" w14:textId="7AB3241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2.6%</w:t>
            </w:r>
          </w:p>
        </w:tc>
        <w:tc>
          <w:tcPr>
            <w:tcW w:w="1312" w:type="dxa"/>
            <w:noWrap/>
            <w:hideMark/>
          </w:tcPr>
          <w:p w14:paraId="2007EA16" w14:textId="7CA6A80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$114,845.00 </w:t>
            </w:r>
          </w:p>
        </w:tc>
        <w:tc>
          <w:tcPr>
            <w:tcW w:w="1026" w:type="dxa"/>
            <w:noWrap/>
            <w:hideMark/>
          </w:tcPr>
          <w:p w14:paraId="6AAC13E6" w14:textId="369A05B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$1,620 </w:t>
            </w:r>
          </w:p>
        </w:tc>
        <w:tc>
          <w:tcPr>
            <w:tcW w:w="1165" w:type="dxa"/>
            <w:noWrap/>
            <w:hideMark/>
          </w:tcPr>
          <w:p w14:paraId="66844A73" w14:textId="65220A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1.4%</w:t>
            </w:r>
          </w:p>
        </w:tc>
      </w:tr>
      <w:tr w:rsidR="00EF1A6A" w:rsidRPr="007A4710" w14:paraId="2E41E3C6" w14:textId="77777777" w:rsidTr="00EF1A6A">
        <w:trPr>
          <w:trHeight w:val="268"/>
        </w:trPr>
        <w:tc>
          <w:tcPr>
            <w:tcW w:w="2495" w:type="dxa"/>
            <w:noWrap/>
            <w:hideMark/>
          </w:tcPr>
          <w:p w14:paraId="4DEC14D3" w14:textId="44515D46"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Police Academy Renovations</w:t>
            </w:r>
          </w:p>
        </w:tc>
        <w:tc>
          <w:tcPr>
            <w:tcW w:w="864" w:type="dxa"/>
            <w:noWrap/>
            <w:hideMark/>
          </w:tcPr>
          <w:p w14:paraId="74E7BE96" w14:textId="04AA4A5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c>
          <w:tcPr>
            <w:tcW w:w="1005" w:type="dxa"/>
            <w:noWrap/>
            <w:hideMark/>
          </w:tcPr>
          <w:p w14:paraId="79877BD2" w14:textId="6D94701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$1,682,657 </w:t>
            </w:r>
          </w:p>
        </w:tc>
        <w:tc>
          <w:tcPr>
            <w:tcW w:w="1026" w:type="dxa"/>
            <w:noWrap/>
            <w:hideMark/>
          </w:tcPr>
          <w:p w14:paraId="5DA626E4" w14:textId="12AA319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$9,261 </w:t>
            </w:r>
          </w:p>
        </w:tc>
        <w:tc>
          <w:tcPr>
            <w:tcW w:w="1187" w:type="dxa"/>
            <w:noWrap/>
            <w:hideMark/>
          </w:tcPr>
          <w:p w14:paraId="4A2EDF8E" w14:textId="0B6699E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2.0%</w:t>
            </w:r>
          </w:p>
        </w:tc>
        <w:tc>
          <w:tcPr>
            <w:tcW w:w="1312" w:type="dxa"/>
            <w:noWrap/>
            <w:hideMark/>
          </w:tcPr>
          <w:p w14:paraId="0343258E" w14:textId="7DD26F6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$1,686,718.96 </w:t>
            </w:r>
          </w:p>
        </w:tc>
        <w:tc>
          <w:tcPr>
            <w:tcW w:w="1026" w:type="dxa"/>
            <w:noWrap/>
            <w:hideMark/>
          </w:tcPr>
          <w:p w14:paraId="42045954" w14:textId="03279B3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   </w:t>
            </w:r>
          </w:p>
        </w:tc>
        <w:tc>
          <w:tcPr>
            <w:tcW w:w="1165" w:type="dxa"/>
            <w:noWrap/>
            <w:hideMark/>
          </w:tcPr>
          <w:p w14:paraId="3BE3D3D2" w14:textId="6780D74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r>
      <w:tr w:rsidR="00EF1A6A" w:rsidRPr="007A4710" w14:paraId="77FD7CE7" w14:textId="77777777" w:rsidTr="00EF1A6A">
        <w:trPr>
          <w:trHeight w:val="268"/>
        </w:trPr>
        <w:tc>
          <w:tcPr>
            <w:tcW w:w="2495" w:type="dxa"/>
            <w:noWrap/>
            <w:hideMark/>
          </w:tcPr>
          <w:p w14:paraId="30CBFD85" w14:textId="39BAE08F"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Rehab of 101st Harvard to Yale</w:t>
            </w:r>
          </w:p>
        </w:tc>
        <w:tc>
          <w:tcPr>
            <w:tcW w:w="864" w:type="dxa"/>
            <w:noWrap/>
            <w:hideMark/>
          </w:tcPr>
          <w:p w14:paraId="1CC9A1F3" w14:textId="7A08ED9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7E569774" w14:textId="2436D2A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$6,913,000 </w:t>
            </w:r>
          </w:p>
        </w:tc>
        <w:tc>
          <w:tcPr>
            <w:tcW w:w="1026" w:type="dxa"/>
            <w:noWrap/>
            <w:hideMark/>
          </w:tcPr>
          <w:p w14:paraId="5AFD3579" w14:textId="34C0581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$759,372 </w:t>
            </w:r>
          </w:p>
        </w:tc>
        <w:tc>
          <w:tcPr>
            <w:tcW w:w="1187" w:type="dxa"/>
            <w:noWrap/>
            <w:hideMark/>
          </w:tcPr>
          <w:p w14:paraId="3EF9585F" w14:textId="1CBBD83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11.0%</w:t>
            </w:r>
          </w:p>
        </w:tc>
        <w:tc>
          <w:tcPr>
            <w:tcW w:w="1312" w:type="dxa"/>
            <w:noWrap/>
            <w:hideMark/>
          </w:tcPr>
          <w:p w14:paraId="7EC00030" w14:textId="5CAC259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$7,839,808.89 </w:t>
            </w:r>
          </w:p>
        </w:tc>
        <w:tc>
          <w:tcPr>
            <w:tcW w:w="1026" w:type="dxa"/>
            <w:noWrap/>
            <w:hideMark/>
          </w:tcPr>
          <w:p w14:paraId="26D41CD0" w14:textId="1F16E75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$805,610 </w:t>
            </w:r>
          </w:p>
        </w:tc>
        <w:tc>
          <w:tcPr>
            <w:tcW w:w="1165" w:type="dxa"/>
            <w:noWrap/>
            <w:hideMark/>
          </w:tcPr>
          <w:p w14:paraId="32621647" w14:textId="7A3B895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10.3%</w:t>
            </w:r>
          </w:p>
        </w:tc>
      </w:tr>
      <w:tr w:rsidR="00EF1A6A" w:rsidRPr="007A4710" w14:paraId="150AFB28" w14:textId="77777777" w:rsidTr="00EF1A6A">
        <w:trPr>
          <w:trHeight w:val="268"/>
        </w:trPr>
        <w:tc>
          <w:tcPr>
            <w:tcW w:w="2495" w:type="dxa"/>
            <w:noWrap/>
            <w:hideMark/>
          </w:tcPr>
          <w:p w14:paraId="52ADA553" w14:textId="0636A503"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Riverside Dr 24th - 35th St, 21st Riverside Intersection</w:t>
            </w:r>
          </w:p>
        </w:tc>
        <w:tc>
          <w:tcPr>
            <w:tcW w:w="864" w:type="dxa"/>
            <w:noWrap/>
            <w:hideMark/>
          </w:tcPr>
          <w:p w14:paraId="6AAC4148" w14:textId="36D2C10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5.2%</w:t>
            </w:r>
          </w:p>
        </w:tc>
        <w:tc>
          <w:tcPr>
            <w:tcW w:w="1005" w:type="dxa"/>
            <w:noWrap/>
            <w:hideMark/>
          </w:tcPr>
          <w:p w14:paraId="6D516914" w14:textId="09B1333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$702,000 </w:t>
            </w:r>
          </w:p>
        </w:tc>
        <w:tc>
          <w:tcPr>
            <w:tcW w:w="1026" w:type="dxa"/>
            <w:noWrap/>
            <w:hideMark/>
          </w:tcPr>
          <w:p w14:paraId="6739231E" w14:textId="31AE60D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$36,500 </w:t>
            </w:r>
          </w:p>
        </w:tc>
        <w:tc>
          <w:tcPr>
            <w:tcW w:w="1187" w:type="dxa"/>
            <w:noWrap/>
            <w:hideMark/>
          </w:tcPr>
          <w:p w14:paraId="160523AC" w14:textId="2967377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2.2%</w:t>
            </w:r>
          </w:p>
        </w:tc>
        <w:tc>
          <w:tcPr>
            <w:tcW w:w="1312" w:type="dxa"/>
            <w:noWrap/>
            <w:hideMark/>
          </w:tcPr>
          <w:p w14:paraId="5E3634EE" w14:textId="1B95BEB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$646,978.12 </w:t>
            </w:r>
          </w:p>
        </w:tc>
        <w:tc>
          <w:tcPr>
            <w:tcW w:w="1026" w:type="dxa"/>
            <w:noWrap/>
            <w:hideMark/>
          </w:tcPr>
          <w:p w14:paraId="6099782F" w14:textId="4D748B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$53,704 </w:t>
            </w:r>
          </w:p>
        </w:tc>
        <w:tc>
          <w:tcPr>
            <w:tcW w:w="1165" w:type="dxa"/>
            <w:noWrap/>
            <w:hideMark/>
          </w:tcPr>
          <w:p w14:paraId="7AA48839" w14:textId="4BC774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8.3%</w:t>
            </w:r>
          </w:p>
        </w:tc>
      </w:tr>
      <w:tr w:rsidR="00EF1A6A" w:rsidRPr="007A4710" w14:paraId="75430AAF" w14:textId="77777777" w:rsidTr="00EF1A6A">
        <w:trPr>
          <w:trHeight w:val="268"/>
        </w:trPr>
        <w:tc>
          <w:tcPr>
            <w:tcW w:w="2495" w:type="dxa"/>
            <w:noWrap/>
            <w:hideMark/>
          </w:tcPr>
          <w:p w14:paraId="6151D82A" w14:textId="0B3DFECC"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Riverside Pkwy 81st to Joe Creek</w:t>
            </w:r>
          </w:p>
        </w:tc>
        <w:tc>
          <w:tcPr>
            <w:tcW w:w="864" w:type="dxa"/>
            <w:noWrap/>
            <w:hideMark/>
          </w:tcPr>
          <w:p w14:paraId="1BDEAAA9" w14:textId="7F82943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845E259" w14:textId="06F5376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$787,000 </w:t>
            </w:r>
          </w:p>
        </w:tc>
        <w:tc>
          <w:tcPr>
            <w:tcW w:w="1026" w:type="dxa"/>
            <w:noWrap/>
            <w:hideMark/>
          </w:tcPr>
          <w:p w14:paraId="3C0938B7" w14:textId="3D37755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$82,120 </w:t>
            </w:r>
          </w:p>
        </w:tc>
        <w:tc>
          <w:tcPr>
            <w:tcW w:w="1187" w:type="dxa"/>
            <w:noWrap/>
            <w:hideMark/>
          </w:tcPr>
          <w:p w14:paraId="48D189CA" w14:textId="6E9A797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1.2%</w:t>
            </w:r>
          </w:p>
        </w:tc>
        <w:tc>
          <w:tcPr>
            <w:tcW w:w="1312" w:type="dxa"/>
            <w:noWrap/>
            <w:hideMark/>
          </w:tcPr>
          <w:p w14:paraId="299FE4E6" w14:textId="290463F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$583,034.27 </w:t>
            </w:r>
          </w:p>
        </w:tc>
        <w:tc>
          <w:tcPr>
            <w:tcW w:w="1026" w:type="dxa"/>
            <w:noWrap/>
            <w:hideMark/>
          </w:tcPr>
          <w:p w14:paraId="761D0F36" w14:textId="1245BF6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$85,256 </w:t>
            </w:r>
          </w:p>
        </w:tc>
        <w:tc>
          <w:tcPr>
            <w:tcW w:w="1165" w:type="dxa"/>
            <w:noWrap/>
            <w:hideMark/>
          </w:tcPr>
          <w:p w14:paraId="53DD8BA5" w14:textId="7C9AACE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14.6%</w:t>
            </w:r>
          </w:p>
        </w:tc>
      </w:tr>
      <w:tr w:rsidR="00EF1A6A" w:rsidRPr="007A4710" w14:paraId="2BA32E5B" w14:textId="77777777" w:rsidTr="00EF1A6A">
        <w:trPr>
          <w:trHeight w:val="268"/>
        </w:trPr>
        <w:tc>
          <w:tcPr>
            <w:tcW w:w="2495" w:type="dxa"/>
            <w:noWrap/>
            <w:hideMark/>
          </w:tcPr>
          <w:p w14:paraId="27FDE24C" w14:textId="13400E42"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TPD Roof Replacement at Gilcrease </w:t>
            </w:r>
            <w:proofErr w:type="spellStart"/>
            <w:r w:rsidRPr="007A4710">
              <w:rPr>
                <w:rFonts w:asciiTheme="majorHAnsi" w:hAnsiTheme="majorHAnsi" w:cstheme="majorHAnsi"/>
                <w:sz w:val="14"/>
                <w:szCs w:val="14"/>
              </w:rPr>
              <w:t>Div</w:t>
            </w:r>
            <w:proofErr w:type="spellEnd"/>
          </w:p>
        </w:tc>
        <w:tc>
          <w:tcPr>
            <w:tcW w:w="864" w:type="dxa"/>
            <w:noWrap/>
            <w:hideMark/>
          </w:tcPr>
          <w:p w14:paraId="51DF47DD" w14:textId="287794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7DD4C358" w14:textId="6E38D4C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$257,965 </w:t>
            </w:r>
          </w:p>
        </w:tc>
        <w:tc>
          <w:tcPr>
            <w:tcW w:w="1026" w:type="dxa"/>
            <w:noWrap/>
            <w:hideMark/>
          </w:tcPr>
          <w:p w14:paraId="665713E8" w14:textId="02AB990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$26,600 </w:t>
            </w:r>
          </w:p>
        </w:tc>
        <w:tc>
          <w:tcPr>
            <w:tcW w:w="1187" w:type="dxa"/>
            <w:noWrap/>
            <w:hideMark/>
          </w:tcPr>
          <w:p w14:paraId="35A39EBF" w14:textId="0FA058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10.3%</w:t>
            </w:r>
          </w:p>
        </w:tc>
        <w:tc>
          <w:tcPr>
            <w:tcW w:w="1312" w:type="dxa"/>
            <w:noWrap/>
            <w:hideMark/>
          </w:tcPr>
          <w:p w14:paraId="610DDBB4" w14:textId="03E10E4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$274,506.97 </w:t>
            </w:r>
          </w:p>
        </w:tc>
        <w:tc>
          <w:tcPr>
            <w:tcW w:w="1026" w:type="dxa"/>
            <w:noWrap/>
            <w:hideMark/>
          </w:tcPr>
          <w:p w14:paraId="6BB26BD1" w14:textId="1635593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$185,022 </w:t>
            </w:r>
          </w:p>
        </w:tc>
        <w:tc>
          <w:tcPr>
            <w:tcW w:w="1165" w:type="dxa"/>
            <w:noWrap/>
            <w:hideMark/>
          </w:tcPr>
          <w:p w14:paraId="36DF328D" w14:textId="4C9E088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67.4%</w:t>
            </w:r>
          </w:p>
        </w:tc>
      </w:tr>
      <w:tr w:rsidR="00EF1A6A" w:rsidRPr="007A4710" w14:paraId="2CEFF871" w14:textId="77777777" w:rsidTr="00EF1A6A">
        <w:trPr>
          <w:trHeight w:val="268"/>
        </w:trPr>
        <w:tc>
          <w:tcPr>
            <w:tcW w:w="2495" w:type="dxa"/>
            <w:noWrap/>
            <w:hideMark/>
          </w:tcPr>
          <w:p w14:paraId="2E361873" w14:textId="48AF27A5" w:rsidR="00FA048B" w:rsidRPr="00FA048B" w:rsidRDefault="00FA048B" w:rsidP="00FA048B">
            <w:pPr>
              <w:spacing w:line="240" w:lineRule="auto"/>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lastRenderedPageBreak/>
              <w:t>Tulsa Fire Dept Roof Replace.</w:t>
            </w:r>
          </w:p>
        </w:tc>
        <w:tc>
          <w:tcPr>
            <w:tcW w:w="864" w:type="dxa"/>
            <w:noWrap/>
            <w:hideMark/>
          </w:tcPr>
          <w:p w14:paraId="6C54C0E0" w14:textId="0290D0C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A784E0F" w14:textId="08A5B14B"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$385,662 </w:t>
            </w:r>
          </w:p>
        </w:tc>
        <w:tc>
          <w:tcPr>
            <w:tcW w:w="1026" w:type="dxa"/>
            <w:noWrap/>
            <w:hideMark/>
          </w:tcPr>
          <w:p w14:paraId="44575284" w14:textId="578F45AA"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$290,620 </w:t>
            </w:r>
          </w:p>
        </w:tc>
        <w:tc>
          <w:tcPr>
            <w:tcW w:w="1187" w:type="dxa"/>
            <w:noWrap/>
            <w:hideMark/>
          </w:tcPr>
          <w:p w14:paraId="65056D37" w14:textId="2E707D2A"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41.4%</w:t>
            </w:r>
          </w:p>
        </w:tc>
        <w:tc>
          <w:tcPr>
            <w:tcW w:w="1312" w:type="dxa"/>
            <w:noWrap/>
            <w:hideMark/>
          </w:tcPr>
          <w:p w14:paraId="1C3BB9F7" w14:textId="2C7E8CD3"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$381,640.40 </w:t>
            </w:r>
          </w:p>
        </w:tc>
        <w:tc>
          <w:tcPr>
            <w:tcW w:w="1026" w:type="dxa"/>
            <w:noWrap/>
            <w:hideMark/>
          </w:tcPr>
          <w:p w14:paraId="3A59EA2F" w14:textId="0DED48F5"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$295,010 </w:t>
            </w:r>
          </w:p>
        </w:tc>
        <w:tc>
          <w:tcPr>
            <w:tcW w:w="1165" w:type="dxa"/>
            <w:noWrap/>
            <w:hideMark/>
          </w:tcPr>
          <w:p w14:paraId="2679E26B" w14:textId="63148B5C"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77.3%</w:t>
            </w:r>
          </w:p>
        </w:tc>
      </w:tr>
      <w:tr w:rsidR="00EF1A6A" w:rsidRPr="007A4710" w14:paraId="0BBD2252" w14:textId="77777777" w:rsidTr="00EF1A6A">
        <w:trPr>
          <w:trHeight w:val="268"/>
        </w:trPr>
        <w:tc>
          <w:tcPr>
            <w:tcW w:w="2495" w:type="dxa"/>
            <w:shd w:val="clear" w:color="auto" w:fill="5B9BD5" w:themeFill="accent5"/>
            <w:noWrap/>
            <w:hideMark/>
          </w:tcPr>
          <w:p w14:paraId="0D1ACB2A" w14:textId="15C412D7" w:rsidR="00FA048B" w:rsidRPr="00FA048B" w:rsidRDefault="00FA048B" w:rsidP="00FA048B">
            <w:pPr>
              <w:spacing w:line="240" w:lineRule="auto"/>
              <w:ind w:firstLineChars="100" w:firstLine="141"/>
              <w:rPr>
                <w:rFonts w:asciiTheme="majorHAnsi" w:eastAsia="Times New Roman" w:hAnsiTheme="majorHAnsi" w:cstheme="majorHAnsi"/>
                <w:b/>
                <w:bCs/>
                <w:color w:val="FFFFFF" w:themeColor="background1"/>
                <w:sz w:val="14"/>
                <w:szCs w:val="14"/>
              </w:rPr>
            </w:pPr>
            <w:r w:rsidRPr="007A4710">
              <w:rPr>
                <w:rFonts w:asciiTheme="majorHAnsi" w:hAnsiTheme="majorHAnsi" w:cstheme="majorHAnsi"/>
                <w:b/>
                <w:bCs/>
                <w:color w:val="FFFFFF" w:themeColor="background1"/>
                <w:sz w:val="14"/>
                <w:szCs w:val="14"/>
              </w:rPr>
              <w:t>2019</w:t>
            </w:r>
          </w:p>
        </w:tc>
        <w:tc>
          <w:tcPr>
            <w:tcW w:w="864" w:type="dxa"/>
            <w:shd w:val="clear" w:color="auto" w:fill="5B9BD5" w:themeFill="accent5"/>
            <w:noWrap/>
            <w:hideMark/>
          </w:tcPr>
          <w:p w14:paraId="57F0C201" w14:textId="1E136CBE"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05" w:type="dxa"/>
            <w:shd w:val="clear" w:color="auto" w:fill="5B9BD5" w:themeFill="accent5"/>
            <w:noWrap/>
            <w:hideMark/>
          </w:tcPr>
          <w:p w14:paraId="4A4F7F99" w14:textId="6A3F760F"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66DEE540" w14:textId="1FA110C4"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87" w:type="dxa"/>
            <w:shd w:val="clear" w:color="auto" w:fill="5B9BD5" w:themeFill="accent5"/>
            <w:noWrap/>
            <w:hideMark/>
          </w:tcPr>
          <w:p w14:paraId="100DABD5" w14:textId="010CF79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312" w:type="dxa"/>
            <w:shd w:val="clear" w:color="auto" w:fill="5B9BD5" w:themeFill="accent5"/>
            <w:noWrap/>
            <w:hideMark/>
          </w:tcPr>
          <w:p w14:paraId="7785CD36" w14:textId="6982FACC"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631E91B8" w14:textId="60DC64FC"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65" w:type="dxa"/>
            <w:shd w:val="clear" w:color="auto" w:fill="5B9BD5" w:themeFill="accent5"/>
            <w:noWrap/>
            <w:hideMark/>
          </w:tcPr>
          <w:p w14:paraId="26C9187C" w14:textId="021B0D0A"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r>
      <w:tr w:rsidR="00EF1A6A" w:rsidRPr="007A4710" w14:paraId="0E326085" w14:textId="77777777" w:rsidTr="00EF1A6A">
        <w:trPr>
          <w:trHeight w:val="268"/>
        </w:trPr>
        <w:tc>
          <w:tcPr>
            <w:tcW w:w="2495" w:type="dxa"/>
            <w:noWrap/>
            <w:hideMark/>
          </w:tcPr>
          <w:p w14:paraId="71DA4C06" w14:textId="5C8DCC43"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 St Rehab 15th - Peoria to Lewis</w:t>
            </w:r>
          </w:p>
        </w:tc>
        <w:tc>
          <w:tcPr>
            <w:tcW w:w="864" w:type="dxa"/>
            <w:noWrap/>
            <w:hideMark/>
          </w:tcPr>
          <w:p w14:paraId="5EA370C6" w14:textId="669B1CF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F2A39AA" w14:textId="6E71322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$5,730,000 </w:t>
            </w:r>
          </w:p>
        </w:tc>
        <w:tc>
          <w:tcPr>
            <w:tcW w:w="1026" w:type="dxa"/>
            <w:noWrap/>
            <w:hideMark/>
          </w:tcPr>
          <w:p w14:paraId="51F31183" w14:textId="559C935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$573,000 </w:t>
            </w:r>
          </w:p>
        </w:tc>
        <w:tc>
          <w:tcPr>
            <w:tcW w:w="1187" w:type="dxa"/>
            <w:noWrap/>
            <w:hideMark/>
          </w:tcPr>
          <w:p w14:paraId="74F3B7DC" w14:textId="6968F01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8.3%</w:t>
            </w:r>
          </w:p>
        </w:tc>
        <w:tc>
          <w:tcPr>
            <w:tcW w:w="1312" w:type="dxa"/>
            <w:noWrap/>
            <w:hideMark/>
          </w:tcPr>
          <w:p w14:paraId="44E17AFE" w14:textId="3846DEC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$5,757,570.06 </w:t>
            </w:r>
          </w:p>
        </w:tc>
        <w:tc>
          <w:tcPr>
            <w:tcW w:w="1026" w:type="dxa"/>
            <w:noWrap/>
            <w:hideMark/>
          </w:tcPr>
          <w:p w14:paraId="193836B8" w14:textId="5B49C1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$492,619 </w:t>
            </w:r>
          </w:p>
        </w:tc>
        <w:tc>
          <w:tcPr>
            <w:tcW w:w="1165" w:type="dxa"/>
            <w:noWrap/>
            <w:hideMark/>
          </w:tcPr>
          <w:p w14:paraId="1C97FF85" w14:textId="15A4C08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8.6%</w:t>
            </w:r>
          </w:p>
        </w:tc>
      </w:tr>
      <w:tr w:rsidR="00EF1A6A" w:rsidRPr="007A4710" w14:paraId="0928FBC7" w14:textId="77777777" w:rsidTr="00EF1A6A">
        <w:trPr>
          <w:trHeight w:val="268"/>
        </w:trPr>
        <w:tc>
          <w:tcPr>
            <w:tcW w:w="2495" w:type="dxa"/>
            <w:noWrap/>
            <w:hideMark/>
          </w:tcPr>
          <w:p w14:paraId="3DAD8191" w14:textId="25CE5916"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Arterial St Rehab - 11th St - Peoria to Utica</w:t>
            </w:r>
          </w:p>
        </w:tc>
        <w:tc>
          <w:tcPr>
            <w:tcW w:w="864" w:type="dxa"/>
            <w:noWrap/>
            <w:hideMark/>
          </w:tcPr>
          <w:p w14:paraId="44507ACE" w14:textId="411927E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5E841696" w14:textId="2FAAA29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$2,343,000 </w:t>
            </w:r>
          </w:p>
        </w:tc>
        <w:tc>
          <w:tcPr>
            <w:tcW w:w="1026" w:type="dxa"/>
            <w:noWrap/>
            <w:hideMark/>
          </w:tcPr>
          <w:p w14:paraId="0C636BF6" w14:textId="63404A4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$234,834 </w:t>
            </w:r>
          </w:p>
        </w:tc>
        <w:tc>
          <w:tcPr>
            <w:tcW w:w="1187" w:type="dxa"/>
            <w:noWrap/>
            <w:hideMark/>
          </w:tcPr>
          <w:p w14:paraId="5D316C52" w14:textId="33F170D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4.8%</w:t>
            </w:r>
          </w:p>
        </w:tc>
        <w:tc>
          <w:tcPr>
            <w:tcW w:w="1312" w:type="dxa"/>
            <w:noWrap/>
            <w:hideMark/>
          </w:tcPr>
          <w:p w14:paraId="4C156938" w14:textId="628E4B0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$1,882,222.23 </w:t>
            </w:r>
          </w:p>
        </w:tc>
        <w:tc>
          <w:tcPr>
            <w:tcW w:w="1026" w:type="dxa"/>
            <w:noWrap/>
            <w:hideMark/>
          </w:tcPr>
          <w:p w14:paraId="6C72649B" w14:textId="136D09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$234,834 </w:t>
            </w:r>
          </w:p>
        </w:tc>
        <w:tc>
          <w:tcPr>
            <w:tcW w:w="1165" w:type="dxa"/>
            <w:noWrap/>
            <w:hideMark/>
          </w:tcPr>
          <w:p w14:paraId="7B8A7149" w14:textId="67D1C9F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12.5%</w:t>
            </w:r>
          </w:p>
        </w:tc>
      </w:tr>
      <w:tr w:rsidR="00EF1A6A" w:rsidRPr="007A4710" w14:paraId="5146C045" w14:textId="77777777" w:rsidTr="00EF1A6A">
        <w:trPr>
          <w:trHeight w:val="268"/>
        </w:trPr>
        <w:tc>
          <w:tcPr>
            <w:tcW w:w="2495" w:type="dxa"/>
            <w:noWrap/>
            <w:hideMark/>
          </w:tcPr>
          <w:p w14:paraId="044FB752" w14:textId="27BD9A7D"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Bicycle &amp; Pedestrian Plan 10th, Elgin, Boulder</w:t>
            </w:r>
          </w:p>
        </w:tc>
        <w:tc>
          <w:tcPr>
            <w:tcW w:w="864" w:type="dxa"/>
            <w:noWrap/>
            <w:hideMark/>
          </w:tcPr>
          <w:p w14:paraId="013876D8" w14:textId="34E5317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6E33FCD4" w14:textId="6700BF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$312,011 </w:t>
            </w:r>
          </w:p>
        </w:tc>
        <w:tc>
          <w:tcPr>
            <w:tcW w:w="1026" w:type="dxa"/>
            <w:noWrap/>
            <w:hideMark/>
          </w:tcPr>
          <w:p w14:paraId="5B775257" w14:textId="2F33C3C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$33,294 </w:t>
            </w:r>
          </w:p>
        </w:tc>
        <w:tc>
          <w:tcPr>
            <w:tcW w:w="1187" w:type="dxa"/>
            <w:noWrap/>
            <w:hideMark/>
          </w:tcPr>
          <w:p w14:paraId="0B9ECC9E" w14:textId="239E7E4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4.7%</w:t>
            </w:r>
          </w:p>
        </w:tc>
        <w:tc>
          <w:tcPr>
            <w:tcW w:w="1312" w:type="dxa"/>
            <w:noWrap/>
            <w:hideMark/>
          </w:tcPr>
          <w:p w14:paraId="661C8A49" w14:textId="502A2C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$393,650.04 </w:t>
            </w:r>
          </w:p>
        </w:tc>
        <w:tc>
          <w:tcPr>
            <w:tcW w:w="1026" w:type="dxa"/>
            <w:noWrap/>
            <w:hideMark/>
          </w:tcPr>
          <w:p w14:paraId="6FF1F7E5" w14:textId="5E75EC9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$44,583 </w:t>
            </w:r>
          </w:p>
        </w:tc>
        <w:tc>
          <w:tcPr>
            <w:tcW w:w="1165" w:type="dxa"/>
            <w:noWrap/>
            <w:hideMark/>
          </w:tcPr>
          <w:p w14:paraId="30C0032E" w14:textId="7BDBB36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11.3%</w:t>
            </w:r>
          </w:p>
        </w:tc>
      </w:tr>
      <w:tr w:rsidR="00EF1A6A" w:rsidRPr="007A4710" w14:paraId="60787B95" w14:textId="77777777" w:rsidTr="00EF1A6A">
        <w:trPr>
          <w:trHeight w:val="268"/>
        </w:trPr>
        <w:tc>
          <w:tcPr>
            <w:tcW w:w="2495" w:type="dxa"/>
            <w:noWrap/>
            <w:hideMark/>
          </w:tcPr>
          <w:p w14:paraId="224AF8A0" w14:textId="1281301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Bicycle and Pedestrian Plan - Citywide Phase 1B</w:t>
            </w:r>
          </w:p>
        </w:tc>
        <w:tc>
          <w:tcPr>
            <w:tcW w:w="864" w:type="dxa"/>
            <w:noWrap/>
            <w:hideMark/>
          </w:tcPr>
          <w:p w14:paraId="3130D8A2" w14:textId="69DD175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9F395C5" w14:textId="74E80A7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$1,470,005 </w:t>
            </w:r>
          </w:p>
        </w:tc>
        <w:tc>
          <w:tcPr>
            <w:tcW w:w="1026" w:type="dxa"/>
            <w:noWrap/>
            <w:hideMark/>
          </w:tcPr>
          <w:p w14:paraId="50C57504" w14:textId="184731A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$749,351 </w:t>
            </w:r>
          </w:p>
        </w:tc>
        <w:tc>
          <w:tcPr>
            <w:tcW w:w="1187" w:type="dxa"/>
            <w:noWrap/>
            <w:hideMark/>
          </w:tcPr>
          <w:p w14:paraId="4226FB1C" w14:textId="4CC96E9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77.2%</w:t>
            </w:r>
          </w:p>
        </w:tc>
        <w:tc>
          <w:tcPr>
            <w:tcW w:w="1312" w:type="dxa"/>
            <w:noWrap/>
            <w:hideMark/>
          </w:tcPr>
          <w:p w14:paraId="6C7C4726" w14:textId="618687E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$1,509,439.07 </w:t>
            </w:r>
          </w:p>
        </w:tc>
        <w:tc>
          <w:tcPr>
            <w:tcW w:w="1026" w:type="dxa"/>
            <w:noWrap/>
            <w:hideMark/>
          </w:tcPr>
          <w:p w14:paraId="76C25ECF" w14:textId="7F5AC86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$728,871 </w:t>
            </w:r>
          </w:p>
        </w:tc>
        <w:tc>
          <w:tcPr>
            <w:tcW w:w="1165" w:type="dxa"/>
            <w:noWrap/>
            <w:hideMark/>
          </w:tcPr>
          <w:p w14:paraId="19BC1B85" w14:textId="692CC8A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48.3%</w:t>
            </w:r>
          </w:p>
        </w:tc>
      </w:tr>
      <w:tr w:rsidR="00EF1A6A" w:rsidRPr="007A4710" w14:paraId="1B81F442" w14:textId="77777777" w:rsidTr="00EF1A6A">
        <w:trPr>
          <w:trHeight w:val="268"/>
        </w:trPr>
        <w:tc>
          <w:tcPr>
            <w:tcW w:w="2495" w:type="dxa"/>
            <w:noWrap/>
            <w:hideMark/>
          </w:tcPr>
          <w:p w14:paraId="0929DACC" w14:textId="22F42C08"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Brady/Boston Drainage Improvements</w:t>
            </w:r>
          </w:p>
        </w:tc>
        <w:tc>
          <w:tcPr>
            <w:tcW w:w="864" w:type="dxa"/>
            <w:noWrap/>
            <w:hideMark/>
          </w:tcPr>
          <w:p w14:paraId="25BB8B85" w14:textId="0DDFA8D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26E424C4" w14:textId="0183669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$495,353 </w:t>
            </w:r>
          </w:p>
        </w:tc>
        <w:tc>
          <w:tcPr>
            <w:tcW w:w="1026" w:type="dxa"/>
            <w:noWrap/>
            <w:hideMark/>
          </w:tcPr>
          <w:p w14:paraId="19633691" w14:textId="0C686F3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$315,000 </w:t>
            </w:r>
          </w:p>
        </w:tc>
        <w:tc>
          <w:tcPr>
            <w:tcW w:w="1187" w:type="dxa"/>
            <w:noWrap/>
            <w:hideMark/>
          </w:tcPr>
          <w:p w14:paraId="0E311778" w14:textId="6776A99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28.7%</w:t>
            </w:r>
          </w:p>
        </w:tc>
        <w:tc>
          <w:tcPr>
            <w:tcW w:w="1312" w:type="dxa"/>
            <w:noWrap/>
            <w:hideMark/>
          </w:tcPr>
          <w:p w14:paraId="0C5E1251" w14:textId="3D6DA71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$388,645.91 </w:t>
            </w:r>
          </w:p>
        </w:tc>
        <w:tc>
          <w:tcPr>
            <w:tcW w:w="1026" w:type="dxa"/>
            <w:noWrap/>
            <w:hideMark/>
          </w:tcPr>
          <w:p w14:paraId="0FF157FD" w14:textId="31F3665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$252,553 </w:t>
            </w:r>
          </w:p>
        </w:tc>
        <w:tc>
          <w:tcPr>
            <w:tcW w:w="1165" w:type="dxa"/>
            <w:noWrap/>
            <w:hideMark/>
          </w:tcPr>
          <w:p w14:paraId="38C93EFB" w14:textId="4620A17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65.0%</w:t>
            </w:r>
          </w:p>
        </w:tc>
      </w:tr>
      <w:tr w:rsidR="00EF1A6A" w:rsidRPr="007A4710" w14:paraId="6122DCDA" w14:textId="77777777" w:rsidTr="00EF1A6A">
        <w:trPr>
          <w:trHeight w:val="268"/>
        </w:trPr>
        <w:tc>
          <w:tcPr>
            <w:tcW w:w="2495" w:type="dxa"/>
            <w:noWrap/>
            <w:hideMark/>
          </w:tcPr>
          <w:p w14:paraId="63844FFB" w14:textId="75E4F749"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Citywide ADA Transition Plan</w:t>
            </w:r>
          </w:p>
        </w:tc>
        <w:tc>
          <w:tcPr>
            <w:tcW w:w="864" w:type="dxa"/>
            <w:noWrap/>
            <w:hideMark/>
          </w:tcPr>
          <w:p w14:paraId="65FD3F60" w14:textId="6090D88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F7534FE" w14:textId="30779EF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$1,642,226 </w:t>
            </w:r>
          </w:p>
        </w:tc>
        <w:tc>
          <w:tcPr>
            <w:tcW w:w="1026" w:type="dxa"/>
            <w:noWrap/>
            <w:hideMark/>
          </w:tcPr>
          <w:p w14:paraId="0E7EDC6D" w14:textId="3736DC8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$194,653 </w:t>
            </w:r>
          </w:p>
        </w:tc>
        <w:tc>
          <w:tcPr>
            <w:tcW w:w="1187" w:type="dxa"/>
            <w:noWrap/>
            <w:hideMark/>
          </w:tcPr>
          <w:p w14:paraId="33DB0782" w14:textId="5D87315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30.4%</w:t>
            </w:r>
          </w:p>
        </w:tc>
        <w:tc>
          <w:tcPr>
            <w:tcW w:w="1312" w:type="dxa"/>
            <w:noWrap/>
            <w:hideMark/>
          </w:tcPr>
          <w:p w14:paraId="74BBCBC2" w14:textId="03230D9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$1,609,574.02 </w:t>
            </w:r>
          </w:p>
        </w:tc>
        <w:tc>
          <w:tcPr>
            <w:tcW w:w="1026" w:type="dxa"/>
            <w:noWrap/>
            <w:hideMark/>
          </w:tcPr>
          <w:p w14:paraId="6384C0E5" w14:textId="383E9B5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$299,046 </w:t>
            </w:r>
          </w:p>
        </w:tc>
        <w:tc>
          <w:tcPr>
            <w:tcW w:w="1165" w:type="dxa"/>
            <w:noWrap/>
            <w:hideMark/>
          </w:tcPr>
          <w:p w14:paraId="76E8EEEC" w14:textId="69F23B0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18.6%</w:t>
            </w:r>
          </w:p>
        </w:tc>
      </w:tr>
      <w:tr w:rsidR="00EF1A6A" w:rsidRPr="007A4710" w14:paraId="639D2577" w14:textId="77777777" w:rsidTr="00EF1A6A">
        <w:trPr>
          <w:trHeight w:val="268"/>
        </w:trPr>
        <w:tc>
          <w:tcPr>
            <w:tcW w:w="2495" w:type="dxa"/>
            <w:noWrap/>
            <w:hideMark/>
          </w:tcPr>
          <w:p w14:paraId="117F809F" w14:textId="14B8DBC7"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proofErr w:type="spellStart"/>
            <w:r w:rsidRPr="007A4710">
              <w:rPr>
                <w:rFonts w:asciiTheme="majorHAnsi" w:hAnsiTheme="majorHAnsi" w:cstheme="majorHAnsi"/>
                <w:sz w:val="14"/>
                <w:szCs w:val="14"/>
              </w:rPr>
              <w:t>CityWide</w:t>
            </w:r>
            <w:proofErr w:type="spellEnd"/>
            <w:r w:rsidRPr="007A4710">
              <w:rPr>
                <w:rFonts w:asciiTheme="majorHAnsi" w:hAnsiTheme="majorHAnsi" w:cstheme="majorHAnsi"/>
                <w:sz w:val="14"/>
                <w:szCs w:val="14"/>
              </w:rPr>
              <w:t xml:space="preserve"> Bridge Rehab</w:t>
            </w:r>
          </w:p>
        </w:tc>
        <w:tc>
          <w:tcPr>
            <w:tcW w:w="864" w:type="dxa"/>
            <w:noWrap/>
            <w:hideMark/>
          </w:tcPr>
          <w:p w14:paraId="63761D0A" w14:textId="6EBA496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544FB33" w14:textId="060DC78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$693,000 </w:t>
            </w:r>
          </w:p>
        </w:tc>
        <w:tc>
          <w:tcPr>
            <w:tcW w:w="1026" w:type="dxa"/>
            <w:noWrap/>
            <w:hideMark/>
          </w:tcPr>
          <w:p w14:paraId="0265A2F5" w14:textId="2343363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$105,689 </w:t>
            </w:r>
          </w:p>
        </w:tc>
        <w:tc>
          <w:tcPr>
            <w:tcW w:w="1187" w:type="dxa"/>
            <w:noWrap/>
            <w:hideMark/>
          </w:tcPr>
          <w:p w14:paraId="102932CD" w14:textId="479F0B8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3.8%</w:t>
            </w:r>
          </w:p>
        </w:tc>
        <w:tc>
          <w:tcPr>
            <w:tcW w:w="1312" w:type="dxa"/>
            <w:noWrap/>
            <w:hideMark/>
          </w:tcPr>
          <w:p w14:paraId="178E92E2" w14:textId="392FAD8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$650,465.60 </w:t>
            </w:r>
          </w:p>
        </w:tc>
        <w:tc>
          <w:tcPr>
            <w:tcW w:w="1026" w:type="dxa"/>
            <w:noWrap/>
            <w:hideMark/>
          </w:tcPr>
          <w:p w14:paraId="53A59941" w14:textId="16370B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$108,761 </w:t>
            </w:r>
          </w:p>
        </w:tc>
        <w:tc>
          <w:tcPr>
            <w:tcW w:w="1165" w:type="dxa"/>
            <w:noWrap/>
            <w:hideMark/>
          </w:tcPr>
          <w:p w14:paraId="12F53273" w14:textId="021855B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16.7%</w:t>
            </w:r>
          </w:p>
        </w:tc>
      </w:tr>
      <w:tr w:rsidR="00EF1A6A" w:rsidRPr="007A4710" w14:paraId="7A9221A4" w14:textId="77777777" w:rsidTr="00EF1A6A">
        <w:trPr>
          <w:trHeight w:val="268"/>
        </w:trPr>
        <w:tc>
          <w:tcPr>
            <w:tcW w:w="2495" w:type="dxa"/>
            <w:noWrap/>
            <w:hideMark/>
          </w:tcPr>
          <w:p w14:paraId="1EB32F35" w14:textId="609FAA7B"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Drainage Ditch from 15th to 13th Street</w:t>
            </w:r>
          </w:p>
        </w:tc>
        <w:tc>
          <w:tcPr>
            <w:tcW w:w="864" w:type="dxa"/>
            <w:noWrap/>
            <w:hideMark/>
          </w:tcPr>
          <w:p w14:paraId="5B26CA16" w14:textId="2EE6FE8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8.6%</w:t>
            </w:r>
          </w:p>
        </w:tc>
        <w:tc>
          <w:tcPr>
            <w:tcW w:w="1005" w:type="dxa"/>
            <w:noWrap/>
            <w:hideMark/>
          </w:tcPr>
          <w:p w14:paraId="7A2392EB" w14:textId="374BEF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$235,000 </w:t>
            </w:r>
          </w:p>
        </w:tc>
        <w:tc>
          <w:tcPr>
            <w:tcW w:w="1026" w:type="dxa"/>
            <w:noWrap/>
            <w:hideMark/>
          </w:tcPr>
          <w:p w14:paraId="41C834E9" w14:textId="3DBBF7F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$23,625 </w:t>
            </w:r>
          </w:p>
        </w:tc>
        <w:tc>
          <w:tcPr>
            <w:tcW w:w="1187" w:type="dxa"/>
            <w:noWrap/>
            <w:hideMark/>
          </w:tcPr>
          <w:p w14:paraId="38A2AC15" w14:textId="52697A4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5.0%</w:t>
            </w:r>
          </w:p>
        </w:tc>
        <w:tc>
          <w:tcPr>
            <w:tcW w:w="1312" w:type="dxa"/>
            <w:noWrap/>
            <w:hideMark/>
          </w:tcPr>
          <w:p w14:paraId="53B06883" w14:textId="23701C6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$307,917.59 </w:t>
            </w:r>
          </w:p>
        </w:tc>
        <w:tc>
          <w:tcPr>
            <w:tcW w:w="1026" w:type="dxa"/>
            <w:noWrap/>
            <w:hideMark/>
          </w:tcPr>
          <w:p w14:paraId="31A63CFC" w14:textId="0740350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$26,566 </w:t>
            </w:r>
          </w:p>
        </w:tc>
        <w:tc>
          <w:tcPr>
            <w:tcW w:w="1165" w:type="dxa"/>
            <w:noWrap/>
            <w:hideMark/>
          </w:tcPr>
          <w:p w14:paraId="517E6FC1" w14:textId="423BC2A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8.6%</w:t>
            </w:r>
          </w:p>
        </w:tc>
      </w:tr>
      <w:tr w:rsidR="00EF1A6A" w:rsidRPr="007A4710" w14:paraId="397964D0" w14:textId="77777777" w:rsidTr="00EF1A6A">
        <w:trPr>
          <w:trHeight w:val="268"/>
        </w:trPr>
        <w:tc>
          <w:tcPr>
            <w:tcW w:w="2495" w:type="dxa"/>
            <w:noWrap/>
            <w:hideMark/>
          </w:tcPr>
          <w:p w14:paraId="53218B4F" w14:textId="1A6F8774"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Helmerich Park Playground</w:t>
            </w:r>
          </w:p>
        </w:tc>
        <w:tc>
          <w:tcPr>
            <w:tcW w:w="864" w:type="dxa"/>
            <w:noWrap/>
            <w:hideMark/>
          </w:tcPr>
          <w:p w14:paraId="48EA43EB" w14:textId="3D3E212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5E3C6FA0" w14:textId="377A4B7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$582,213 </w:t>
            </w:r>
          </w:p>
        </w:tc>
        <w:tc>
          <w:tcPr>
            <w:tcW w:w="1026" w:type="dxa"/>
            <w:noWrap/>
            <w:hideMark/>
          </w:tcPr>
          <w:p w14:paraId="4F93447C" w14:textId="2EAA00C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$236,369 </w:t>
            </w:r>
          </w:p>
        </w:tc>
        <w:tc>
          <w:tcPr>
            <w:tcW w:w="1187" w:type="dxa"/>
            <w:noWrap/>
            <w:hideMark/>
          </w:tcPr>
          <w:p w14:paraId="5FB73072" w14:textId="7124CD9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7.4%</w:t>
            </w:r>
          </w:p>
        </w:tc>
        <w:tc>
          <w:tcPr>
            <w:tcW w:w="1312" w:type="dxa"/>
            <w:noWrap/>
            <w:hideMark/>
          </w:tcPr>
          <w:p w14:paraId="11CA78BB" w14:textId="3A154A4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$607,043.42 </w:t>
            </w:r>
          </w:p>
        </w:tc>
        <w:tc>
          <w:tcPr>
            <w:tcW w:w="1026" w:type="dxa"/>
            <w:noWrap/>
            <w:hideMark/>
          </w:tcPr>
          <w:p w14:paraId="1F866651" w14:textId="0E06B90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$234,311 </w:t>
            </w:r>
          </w:p>
        </w:tc>
        <w:tc>
          <w:tcPr>
            <w:tcW w:w="1165" w:type="dxa"/>
            <w:noWrap/>
            <w:hideMark/>
          </w:tcPr>
          <w:p w14:paraId="020FF6BD" w14:textId="595CEF1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38.6%</w:t>
            </w:r>
          </w:p>
        </w:tc>
      </w:tr>
      <w:tr w:rsidR="00EF1A6A" w:rsidRPr="007A4710" w14:paraId="103EA521" w14:textId="77777777" w:rsidTr="00EF1A6A">
        <w:trPr>
          <w:trHeight w:val="268"/>
        </w:trPr>
        <w:tc>
          <w:tcPr>
            <w:tcW w:w="2495" w:type="dxa"/>
            <w:noWrap/>
            <w:hideMark/>
          </w:tcPr>
          <w:p w14:paraId="011D433B" w14:textId="7932E7F4"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Hicks Park Improvements</w:t>
            </w:r>
          </w:p>
        </w:tc>
        <w:tc>
          <w:tcPr>
            <w:tcW w:w="864" w:type="dxa"/>
            <w:noWrap/>
            <w:hideMark/>
          </w:tcPr>
          <w:p w14:paraId="5AA8D35F" w14:textId="6CDD4CF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9C1D269" w14:textId="05EFE14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$409,760 </w:t>
            </w:r>
          </w:p>
        </w:tc>
        <w:tc>
          <w:tcPr>
            <w:tcW w:w="1026" w:type="dxa"/>
            <w:noWrap/>
            <w:hideMark/>
          </w:tcPr>
          <w:p w14:paraId="3BB1BE7E" w14:textId="09E5244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$348,828 </w:t>
            </w:r>
          </w:p>
        </w:tc>
        <w:tc>
          <w:tcPr>
            <w:tcW w:w="1187" w:type="dxa"/>
            <w:noWrap/>
            <w:hideMark/>
          </w:tcPr>
          <w:p w14:paraId="2CE5B207" w14:textId="25A863A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4.1%</w:t>
            </w:r>
          </w:p>
        </w:tc>
        <w:tc>
          <w:tcPr>
            <w:tcW w:w="1312" w:type="dxa"/>
            <w:noWrap/>
            <w:hideMark/>
          </w:tcPr>
          <w:p w14:paraId="02EB909C" w14:textId="511A05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$416,268.66 </w:t>
            </w:r>
          </w:p>
        </w:tc>
        <w:tc>
          <w:tcPr>
            <w:tcW w:w="1026" w:type="dxa"/>
            <w:noWrap/>
            <w:hideMark/>
          </w:tcPr>
          <w:p w14:paraId="221770E3" w14:textId="582B30D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$302,145 </w:t>
            </w:r>
          </w:p>
        </w:tc>
        <w:tc>
          <w:tcPr>
            <w:tcW w:w="1165" w:type="dxa"/>
            <w:noWrap/>
            <w:hideMark/>
          </w:tcPr>
          <w:p w14:paraId="7852817E" w14:textId="01CEABA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72.6%</w:t>
            </w:r>
          </w:p>
        </w:tc>
      </w:tr>
      <w:tr w:rsidR="00EF1A6A" w:rsidRPr="007A4710" w14:paraId="55E74053" w14:textId="77777777" w:rsidTr="00EF1A6A">
        <w:trPr>
          <w:trHeight w:val="268"/>
        </w:trPr>
        <w:tc>
          <w:tcPr>
            <w:tcW w:w="2495" w:type="dxa"/>
            <w:noWrap/>
            <w:hideMark/>
          </w:tcPr>
          <w:p w14:paraId="4E519B42" w14:textId="41F86ECD"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Peoria BRT</w:t>
            </w:r>
          </w:p>
        </w:tc>
        <w:tc>
          <w:tcPr>
            <w:tcW w:w="864" w:type="dxa"/>
            <w:noWrap/>
            <w:hideMark/>
          </w:tcPr>
          <w:p w14:paraId="2BBE1CA1" w14:textId="3910F46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6.1%</w:t>
            </w:r>
          </w:p>
        </w:tc>
        <w:tc>
          <w:tcPr>
            <w:tcW w:w="1005" w:type="dxa"/>
            <w:noWrap/>
            <w:hideMark/>
          </w:tcPr>
          <w:p w14:paraId="375D0450" w14:textId="0BB708D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$5,071,000 </w:t>
            </w:r>
          </w:p>
        </w:tc>
        <w:tc>
          <w:tcPr>
            <w:tcW w:w="1026" w:type="dxa"/>
            <w:noWrap/>
            <w:hideMark/>
          </w:tcPr>
          <w:p w14:paraId="067B30E8" w14:textId="4E589B6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$311,250 </w:t>
            </w:r>
          </w:p>
        </w:tc>
        <w:tc>
          <w:tcPr>
            <w:tcW w:w="1187" w:type="dxa"/>
            <w:noWrap/>
            <w:hideMark/>
          </w:tcPr>
          <w:p w14:paraId="3F0FDE77" w14:textId="1DD1349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6.1%</w:t>
            </w:r>
          </w:p>
        </w:tc>
        <w:tc>
          <w:tcPr>
            <w:tcW w:w="1312" w:type="dxa"/>
            <w:noWrap/>
            <w:hideMark/>
          </w:tcPr>
          <w:p w14:paraId="5ED65F2F" w14:textId="5B77C44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$5,109,829.22 </w:t>
            </w:r>
          </w:p>
        </w:tc>
        <w:tc>
          <w:tcPr>
            <w:tcW w:w="1026" w:type="dxa"/>
            <w:noWrap/>
            <w:hideMark/>
          </w:tcPr>
          <w:p w14:paraId="610E73C0" w14:textId="02F6AE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$340,991 </w:t>
            </w:r>
          </w:p>
        </w:tc>
        <w:tc>
          <w:tcPr>
            <w:tcW w:w="1165" w:type="dxa"/>
            <w:noWrap/>
            <w:hideMark/>
          </w:tcPr>
          <w:p w14:paraId="027B7940" w14:textId="31936B3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6.7%</w:t>
            </w:r>
          </w:p>
        </w:tc>
      </w:tr>
      <w:tr w:rsidR="00EF1A6A" w:rsidRPr="007A4710" w14:paraId="0307A5B2" w14:textId="77777777" w:rsidTr="00EF1A6A">
        <w:trPr>
          <w:trHeight w:val="268"/>
        </w:trPr>
        <w:tc>
          <w:tcPr>
            <w:tcW w:w="2495" w:type="dxa"/>
            <w:noWrap/>
            <w:hideMark/>
          </w:tcPr>
          <w:p w14:paraId="239B9336" w14:textId="2E2B235D"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Rehab of 11th St - 89th E Ave to Mingo</w:t>
            </w:r>
          </w:p>
        </w:tc>
        <w:tc>
          <w:tcPr>
            <w:tcW w:w="864" w:type="dxa"/>
            <w:noWrap/>
            <w:hideMark/>
          </w:tcPr>
          <w:p w14:paraId="226B4E0B" w14:textId="210FA6F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99DC428" w14:textId="31CAF42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$1,631,058 </w:t>
            </w:r>
          </w:p>
        </w:tc>
        <w:tc>
          <w:tcPr>
            <w:tcW w:w="1026" w:type="dxa"/>
            <w:noWrap/>
            <w:hideMark/>
          </w:tcPr>
          <w:p w14:paraId="047AE2F0" w14:textId="25C3668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$168,509 </w:t>
            </w:r>
          </w:p>
        </w:tc>
        <w:tc>
          <w:tcPr>
            <w:tcW w:w="1187" w:type="dxa"/>
            <w:noWrap/>
            <w:hideMark/>
          </w:tcPr>
          <w:p w14:paraId="7960D1B3" w14:textId="54C0E11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4.3%</w:t>
            </w:r>
          </w:p>
        </w:tc>
        <w:tc>
          <w:tcPr>
            <w:tcW w:w="1312" w:type="dxa"/>
            <w:noWrap/>
            <w:hideMark/>
          </w:tcPr>
          <w:p w14:paraId="1259A8EE" w14:textId="2432ECC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$1,346,518.06 </w:t>
            </w:r>
          </w:p>
        </w:tc>
        <w:tc>
          <w:tcPr>
            <w:tcW w:w="1026" w:type="dxa"/>
            <w:noWrap/>
            <w:hideMark/>
          </w:tcPr>
          <w:p w14:paraId="14B27154" w14:textId="67856FB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$177,653 </w:t>
            </w:r>
          </w:p>
        </w:tc>
        <w:tc>
          <w:tcPr>
            <w:tcW w:w="1165" w:type="dxa"/>
            <w:noWrap/>
            <w:hideMark/>
          </w:tcPr>
          <w:p w14:paraId="1CB26634" w14:textId="726777E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13.2%</w:t>
            </w:r>
          </w:p>
        </w:tc>
      </w:tr>
      <w:tr w:rsidR="00EF1A6A" w:rsidRPr="007A4710" w14:paraId="1B2C5997" w14:textId="77777777" w:rsidTr="00EF1A6A">
        <w:trPr>
          <w:trHeight w:val="268"/>
        </w:trPr>
        <w:tc>
          <w:tcPr>
            <w:tcW w:w="2495" w:type="dxa"/>
            <w:noWrap/>
            <w:hideMark/>
          </w:tcPr>
          <w:p w14:paraId="576C581B" w14:textId="174C08E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TFD Roof Replacement HQ, EMS, Station 5</w:t>
            </w:r>
          </w:p>
        </w:tc>
        <w:tc>
          <w:tcPr>
            <w:tcW w:w="864" w:type="dxa"/>
            <w:noWrap/>
            <w:hideMark/>
          </w:tcPr>
          <w:p w14:paraId="727CF7B9" w14:textId="3F15C8B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F3864F9" w14:textId="341A953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$982,773 </w:t>
            </w:r>
          </w:p>
        </w:tc>
        <w:tc>
          <w:tcPr>
            <w:tcW w:w="1026" w:type="dxa"/>
            <w:noWrap/>
            <w:hideMark/>
          </w:tcPr>
          <w:p w14:paraId="71868C88" w14:textId="36C93E2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$713,783 </w:t>
            </w:r>
          </w:p>
        </w:tc>
        <w:tc>
          <w:tcPr>
            <w:tcW w:w="1187" w:type="dxa"/>
            <w:noWrap/>
            <w:hideMark/>
          </w:tcPr>
          <w:p w14:paraId="51CA22B5" w14:textId="6F36708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30.4%</w:t>
            </w:r>
          </w:p>
        </w:tc>
        <w:tc>
          <w:tcPr>
            <w:tcW w:w="1312" w:type="dxa"/>
            <w:noWrap/>
            <w:hideMark/>
          </w:tcPr>
          <w:p w14:paraId="52A269C5" w14:textId="0EDBD2D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$949,743.99 </w:t>
            </w:r>
          </w:p>
        </w:tc>
        <w:tc>
          <w:tcPr>
            <w:tcW w:w="1026" w:type="dxa"/>
            <w:noWrap/>
            <w:hideMark/>
          </w:tcPr>
          <w:p w14:paraId="3BC0999C" w14:textId="38097E5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$755,002 </w:t>
            </w:r>
          </w:p>
        </w:tc>
        <w:tc>
          <w:tcPr>
            <w:tcW w:w="1165" w:type="dxa"/>
            <w:noWrap/>
            <w:hideMark/>
          </w:tcPr>
          <w:p w14:paraId="66D1D6DA" w14:textId="28DD1FC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79.5%</w:t>
            </w:r>
          </w:p>
        </w:tc>
      </w:tr>
      <w:tr w:rsidR="00EF1A6A" w:rsidRPr="007A4710" w14:paraId="69A7B27D" w14:textId="77777777" w:rsidTr="00EF1A6A">
        <w:trPr>
          <w:trHeight w:val="268"/>
        </w:trPr>
        <w:tc>
          <w:tcPr>
            <w:tcW w:w="2495" w:type="dxa"/>
            <w:noWrap/>
            <w:hideMark/>
          </w:tcPr>
          <w:p w14:paraId="0F75BB04" w14:textId="507C1FB5"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Thomas Gilcrease House Roof </w:t>
            </w:r>
          </w:p>
        </w:tc>
        <w:tc>
          <w:tcPr>
            <w:tcW w:w="864" w:type="dxa"/>
            <w:noWrap/>
            <w:hideMark/>
          </w:tcPr>
          <w:p w14:paraId="32945508" w14:textId="5C5E0BB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7F8EDFCE" w14:textId="483D8FD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$594,116 </w:t>
            </w:r>
          </w:p>
        </w:tc>
        <w:tc>
          <w:tcPr>
            <w:tcW w:w="1026" w:type="dxa"/>
            <w:noWrap/>
            <w:hideMark/>
          </w:tcPr>
          <w:p w14:paraId="272CE21D" w14:textId="6D1CD3A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$201,400 </w:t>
            </w:r>
          </w:p>
        </w:tc>
        <w:tc>
          <w:tcPr>
            <w:tcW w:w="1187" w:type="dxa"/>
            <w:noWrap/>
            <w:hideMark/>
          </w:tcPr>
          <w:p w14:paraId="7FEB4B2C" w14:textId="233920E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72.4%</w:t>
            </w:r>
          </w:p>
        </w:tc>
        <w:tc>
          <w:tcPr>
            <w:tcW w:w="1312" w:type="dxa"/>
            <w:noWrap/>
            <w:hideMark/>
          </w:tcPr>
          <w:p w14:paraId="00AFD29F" w14:textId="31C48FC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$966,567.33 </w:t>
            </w:r>
          </w:p>
        </w:tc>
        <w:tc>
          <w:tcPr>
            <w:tcW w:w="1026" w:type="dxa"/>
            <w:noWrap/>
            <w:hideMark/>
          </w:tcPr>
          <w:p w14:paraId="742FC625" w14:textId="456E61C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$203,439 </w:t>
            </w:r>
          </w:p>
        </w:tc>
        <w:tc>
          <w:tcPr>
            <w:tcW w:w="1165" w:type="dxa"/>
            <w:noWrap/>
            <w:hideMark/>
          </w:tcPr>
          <w:p w14:paraId="67D175F9" w14:textId="32C2C81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21.0%</w:t>
            </w:r>
          </w:p>
        </w:tc>
      </w:tr>
      <w:tr w:rsidR="00EF1A6A" w:rsidRPr="007A4710" w14:paraId="0662C66E" w14:textId="77777777" w:rsidTr="00EF1A6A">
        <w:trPr>
          <w:trHeight w:val="268"/>
        </w:trPr>
        <w:tc>
          <w:tcPr>
            <w:tcW w:w="2495" w:type="dxa"/>
            <w:noWrap/>
            <w:hideMark/>
          </w:tcPr>
          <w:p w14:paraId="617747DD" w14:textId="4561A64C"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Tulsa Zoo Playground</w:t>
            </w:r>
          </w:p>
        </w:tc>
        <w:tc>
          <w:tcPr>
            <w:tcW w:w="864" w:type="dxa"/>
            <w:noWrap/>
            <w:hideMark/>
          </w:tcPr>
          <w:p w14:paraId="380CDD0D" w14:textId="77394C3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6089078C" w14:textId="0C8C6D5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$1,362,775 </w:t>
            </w:r>
          </w:p>
        </w:tc>
        <w:tc>
          <w:tcPr>
            <w:tcW w:w="1026" w:type="dxa"/>
            <w:noWrap/>
            <w:hideMark/>
          </w:tcPr>
          <w:p w14:paraId="03F37F2C" w14:textId="1196520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$156,154 </w:t>
            </w:r>
          </w:p>
        </w:tc>
        <w:tc>
          <w:tcPr>
            <w:tcW w:w="1187" w:type="dxa"/>
            <w:noWrap/>
            <w:hideMark/>
          </w:tcPr>
          <w:p w14:paraId="2F627162" w14:textId="0EE9B34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3.5%</w:t>
            </w:r>
          </w:p>
        </w:tc>
        <w:tc>
          <w:tcPr>
            <w:tcW w:w="1312" w:type="dxa"/>
            <w:noWrap/>
            <w:hideMark/>
          </w:tcPr>
          <w:p w14:paraId="6EA4917E" w14:textId="21E44C4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$1,442,856.10 </w:t>
            </w:r>
          </w:p>
        </w:tc>
        <w:tc>
          <w:tcPr>
            <w:tcW w:w="1026" w:type="dxa"/>
            <w:noWrap/>
            <w:hideMark/>
          </w:tcPr>
          <w:p w14:paraId="3A6E8742" w14:textId="45DA4F9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$301,050 </w:t>
            </w:r>
          </w:p>
        </w:tc>
        <w:tc>
          <w:tcPr>
            <w:tcW w:w="1165" w:type="dxa"/>
            <w:noWrap/>
            <w:hideMark/>
          </w:tcPr>
          <w:p w14:paraId="3D47CBD0" w14:textId="4CF1342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20.9%</w:t>
            </w:r>
          </w:p>
        </w:tc>
      </w:tr>
      <w:tr w:rsidR="00EF1A6A" w:rsidRPr="007A4710" w14:paraId="2E3736CA" w14:textId="77777777" w:rsidTr="00EF1A6A">
        <w:trPr>
          <w:trHeight w:val="268"/>
        </w:trPr>
        <w:tc>
          <w:tcPr>
            <w:tcW w:w="2495" w:type="dxa"/>
            <w:noWrap/>
            <w:hideMark/>
          </w:tcPr>
          <w:p w14:paraId="1663119A" w14:textId="7D661AC9"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Whiteside Park Plumbing </w:t>
            </w:r>
          </w:p>
        </w:tc>
        <w:tc>
          <w:tcPr>
            <w:tcW w:w="864" w:type="dxa"/>
            <w:noWrap/>
            <w:hideMark/>
          </w:tcPr>
          <w:p w14:paraId="71A6F7CA" w14:textId="1E0C1A2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2D7CFF17" w14:textId="103BB5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$214,772 </w:t>
            </w:r>
          </w:p>
        </w:tc>
        <w:tc>
          <w:tcPr>
            <w:tcW w:w="1026" w:type="dxa"/>
            <w:noWrap/>
            <w:hideMark/>
          </w:tcPr>
          <w:p w14:paraId="2F52CED4" w14:textId="4BD70B6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$95,906 </w:t>
            </w:r>
          </w:p>
        </w:tc>
        <w:tc>
          <w:tcPr>
            <w:tcW w:w="1187" w:type="dxa"/>
            <w:noWrap/>
            <w:hideMark/>
          </w:tcPr>
          <w:p w14:paraId="16D55AB5" w14:textId="0835903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11.5%</w:t>
            </w:r>
          </w:p>
        </w:tc>
        <w:tc>
          <w:tcPr>
            <w:tcW w:w="1312" w:type="dxa"/>
            <w:noWrap/>
            <w:hideMark/>
          </w:tcPr>
          <w:p w14:paraId="1205945E" w14:textId="255DEDA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$215,599.52 </w:t>
            </w:r>
          </w:p>
        </w:tc>
        <w:tc>
          <w:tcPr>
            <w:tcW w:w="1026" w:type="dxa"/>
            <w:noWrap/>
            <w:hideMark/>
          </w:tcPr>
          <w:p w14:paraId="7B199FFA" w14:textId="3DA0BA5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$95,906 </w:t>
            </w:r>
          </w:p>
        </w:tc>
        <w:tc>
          <w:tcPr>
            <w:tcW w:w="1165" w:type="dxa"/>
            <w:noWrap/>
            <w:hideMark/>
          </w:tcPr>
          <w:p w14:paraId="211B451D" w14:textId="35C5B33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44.5%</w:t>
            </w:r>
          </w:p>
        </w:tc>
      </w:tr>
      <w:tr w:rsidR="00EF1A6A" w:rsidRPr="007A4710" w14:paraId="53FD0AC2" w14:textId="77777777" w:rsidTr="00EF1A6A">
        <w:trPr>
          <w:trHeight w:val="268"/>
        </w:trPr>
        <w:tc>
          <w:tcPr>
            <w:tcW w:w="2495" w:type="dxa"/>
            <w:noWrap/>
            <w:hideMark/>
          </w:tcPr>
          <w:p w14:paraId="173DA147" w14:textId="369E58F3" w:rsidR="00FA048B" w:rsidRPr="00FA048B" w:rsidRDefault="00FA048B" w:rsidP="00FA048B">
            <w:pPr>
              <w:spacing w:line="240" w:lineRule="auto"/>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Whiteside Park Pool</w:t>
            </w:r>
          </w:p>
        </w:tc>
        <w:tc>
          <w:tcPr>
            <w:tcW w:w="864" w:type="dxa"/>
            <w:noWrap/>
            <w:hideMark/>
          </w:tcPr>
          <w:p w14:paraId="3260D59E" w14:textId="73C73FD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7EFEA69" w14:textId="3DE9D61B"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$1,806,515 </w:t>
            </w:r>
          </w:p>
        </w:tc>
        <w:tc>
          <w:tcPr>
            <w:tcW w:w="1026" w:type="dxa"/>
            <w:noWrap/>
            <w:hideMark/>
          </w:tcPr>
          <w:p w14:paraId="5A009A15" w14:textId="4EC794F6"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$200,401 </w:t>
            </w:r>
          </w:p>
        </w:tc>
        <w:tc>
          <w:tcPr>
            <w:tcW w:w="1187" w:type="dxa"/>
            <w:noWrap/>
            <w:hideMark/>
          </w:tcPr>
          <w:p w14:paraId="6423EC99" w14:textId="59AA8253"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17.5%</w:t>
            </w:r>
          </w:p>
        </w:tc>
        <w:tc>
          <w:tcPr>
            <w:tcW w:w="1312" w:type="dxa"/>
            <w:noWrap/>
            <w:hideMark/>
          </w:tcPr>
          <w:p w14:paraId="513882AC" w14:textId="7D5685A3"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$1,868,082.46 </w:t>
            </w:r>
          </w:p>
        </w:tc>
        <w:tc>
          <w:tcPr>
            <w:tcW w:w="1026" w:type="dxa"/>
            <w:noWrap/>
            <w:hideMark/>
          </w:tcPr>
          <w:p w14:paraId="7FF9D932" w14:textId="7B51B619"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$357,524 </w:t>
            </w:r>
          </w:p>
        </w:tc>
        <w:tc>
          <w:tcPr>
            <w:tcW w:w="1165" w:type="dxa"/>
            <w:noWrap/>
            <w:hideMark/>
          </w:tcPr>
          <w:p w14:paraId="2F0E55C4" w14:textId="08C3CEE7"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19.1%</w:t>
            </w:r>
          </w:p>
        </w:tc>
      </w:tr>
      <w:tr w:rsidR="00EF1A6A" w:rsidRPr="007A4710" w14:paraId="7EBCA30F" w14:textId="77777777" w:rsidTr="00EF1A6A">
        <w:trPr>
          <w:trHeight w:val="268"/>
        </w:trPr>
        <w:tc>
          <w:tcPr>
            <w:tcW w:w="2495" w:type="dxa"/>
            <w:shd w:val="clear" w:color="auto" w:fill="5B9BD5" w:themeFill="accent5"/>
            <w:noWrap/>
            <w:hideMark/>
          </w:tcPr>
          <w:p w14:paraId="2D92840D" w14:textId="23A6A50E" w:rsidR="00FA048B" w:rsidRPr="00FA048B" w:rsidRDefault="00FA048B" w:rsidP="00FA048B">
            <w:pPr>
              <w:spacing w:line="240" w:lineRule="auto"/>
              <w:ind w:firstLineChars="100" w:firstLine="141"/>
              <w:rPr>
                <w:rFonts w:asciiTheme="majorHAnsi" w:eastAsia="Times New Roman" w:hAnsiTheme="majorHAnsi" w:cstheme="majorHAnsi"/>
                <w:b/>
                <w:bCs/>
                <w:color w:val="FFFFFF" w:themeColor="background1"/>
                <w:sz w:val="14"/>
                <w:szCs w:val="14"/>
              </w:rPr>
            </w:pPr>
            <w:r w:rsidRPr="007A4710">
              <w:rPr>
                <w:rFonts w:asciiTheme="majorHAnsi" w:hAnsiTheme="majorHAnsi" w:cstheme="majorHAnsi"/>
                <w:b/>
                <w:bCs/>
                <w:color w:val="FFFFFF" w:themeColor="background1"/>
                <w:sz w:val="14"/>
                <w:szCs w:val="14"/>
              </w:rPr>
              <w:t>2020</w:t>
            </w:r>
          </w:p>
        </w:tc>
        <w:tc>
          <w:tcPr>
            <w:tcW w:w="864" w:type="dxa"/>
            <w:shd w:val="clear" w:color="auto" w:fill="5B9BD5" w:themeFill="accent5"/>
            <w:noWrap/>
            <w:hideMark/>
          </w:tcPr>
          <w:p w14:paraId="68E0BCD0" w14:textId="4B16D8FC"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05" w:type="dxa"/>
            <w:shd w:val="clear" w:color="auto" w:fill="5B9BD5" w:themeFill="accent5"/>
            <w:noWrap/>
            <w:hideMark/>
          </w:tcPr>
          <w:p w14:paraId="10B86C74" w14:textId="468F1FA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0E255F68" w14:textId="7BBE16EA"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87" w:type="dxa"/>
            <w:shd w:val="clear" w:color="auto" w:fill="5B9BD5" w:themeFill="accent5"/>
            <w:noWrap/>
            <w:hideMark/>
          </w:tcPr>
          <w:p w14:paraId="4AC9D446" w14:textId="468219A0"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312" w:type="dxa"/>
            <w:shd w:val="clear" w:color="auto" w:fill="5B9BD5" w:themeFill="accent5"/>
            <w:noWrap/>
            <w:hideMark/>
          </w:tcPr>
          <w:p w14:paraId="3BE163D0" w14:textId="081DEA7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50BEE8FF" w14:textId="7EB89AD0"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65" w:type="dxa"/>
            <w:shd w:val="clear" w:color="auto" w:fill="5B9BD5" w:themeFill="accent5"/>
            <w:noWrap/>
            <w:hideMark/>
          </w:tcPr>
          <w:p w14:paraId="46FD4E96" w14:textId="0B1817A0"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r>
      <w:tr w:rsidR="00EF1A6A" w:rsidRPr="007A4710" w14:paraId="488E2AFD" w14:textId="77777777" w:rsidTr="00EF1A6A">
        <w:trPr>
          <w:trHeight w:val="268"/>
        </w:trPr>
        <w:tc>
          <w:tcPr>
            <w:tcW w:w="2495" w:type="dxa"/>
            <w:noWrap/>
            <w:hideMark/>
          </w:tcPr>
          <w:p w14:paraId="25C87D19" w14:textId="106E949B"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105th &amp; Yale Drainage Improvements</w:t>
            </w:r>
          </w:p>
        </w:tc>
        <w:tc>
          <w:tcPr>
            <w:tcW w:w="864" w:type="dxa"/>
            <w:noWrap/>
            <w:hideMark/>
          </w:tcPr>
          <w:p w14:paraId="1773EB4C" w14:textId="4145CBA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55167376" w14:textId="5BF7A65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$971,511 </w:t>
            </w:r>
          </w:p>
        </w:tc>
        <w:tc>
          <w:tcPr>
            <w:tcW w:w="1026" w:type="dxa"/>
            <w:noWrap/>
            <w:hideMark/>
          </w:tcPr>
          <w:p w14:paraId="59586030" w14:textId="5A5D8E9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$128,800 </w:t>
            </w:r>
          </w:p>
        </w:tc>
        <w:tc>
          <w:tcPr>
            <w:tcW w:w="1187" w:type="dxa"/>
            <w:noWrap/>
            <w:hideMark/>
          </w:tcPr>
          <w:p w14:paraId="2E6F07FA" w14:textId="3C5E5C0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22.5%</w:t>
            </w:r>
          </w:p>
        </w:tc>
        <w:tc>
          <w:tcPr>
            <w:tcW w:w="1312" w:type="dxa"/>
            <w:noWrap/>
            <w:hideMark/>
          </w:tcPr>
          <w:p w14:paraId="7491C2EE" w14:textId="1C77925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$1,145,102.81 </w:t>
            </w:r>
          </w:p>
        </w:tc>
        <w:tc>
          <w:tcPr>
            <w:tcW w:w="1026" w:type="dxa"/>
            <w:noWrap/>
            <w:hideMark/>
          </w:tcPr>
          <w:p w14:paraId="16F01EBF" w14:textId="3FED2B1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$262,034 </w:t>
            </w:r>
          </w:p>
        </w:tc>
        <w:tc>
          <w:tcPr>
            <w:tcW w:w="1165" w:type="dxa"/>
            <w:noWrap/>
            <w:hideMark/>
          </w:tcPr>
          <w:p w14:paraId="14D849A6" w14:textId="367D9A0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22.9%</w:t>
            </w:r>
          </w:p>
        </w:tc>
      </w:tr>
      <w:tr w:rsidR="00EF1A6A" w:rsidRPr="007A4710" w14:paraId="327245DC" w14:textId="77777777" w:rsidTr="00EF1A6A">
        <w:trPr>
          <w:trHeight w:val="268"/>
        </w:trPr>
        <w:tc>
          <w:tcPr>
            <w:tcW w:w="2495" w:type="dxa"/>
            <w:noWrap/>
            <w:hideMark/>
          </w:tcPr>
          <w:p w14:paraId="111402E8" w14:textId="6D983FDA"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Arterial Street Rehabilitation/Maintenance E. Pine St. and N. Lewis Ave. Intersection</w:t>
            </w:r>
          </w:p>
        </w:tc>
        <w:tc>
          <w:tcPr>
            <w:tcW w:w="864" w:type="dxa"/>
            <w:noWrap/>
            <w:hideMark/>
          </w:tcPr>
          <w:p w14:paraId="47C02D56" w14:textId="32111F9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29818C8" w14:textId="780CB41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$1,803,688 </w:t>
            </w:r>
          </w:p>
        </w:tc>
        <w:tc>
          <w:tcPr>
            <w:tcW w:w="1026" w:type="dxa"/>
            <w:noWrap/>
            <w:hideMark/>
          </w:tcPr>
          <w:p w14:paraId="0FFB70A6" w14:textId="3DEAECD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$169,325 </w:t>
            </w:r>
          </w:p>
        </w:tc>
        <w:tc>
          <w:tcPr>
            <w:tcW w:w="1187" w:type="dxa"/>
            <w:noWrap/>
            <w:hideMark/>
          </w:tcPr>
          <w:p w14:paraId="3C1D486D" w14:textId="31F2638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6.8%</w:t>
            </w:r>
          </w:p>
        </w:tc>
        <w:tc>
          <w:tcPr>
            <w:tcW w:w="1312" w:type="dxa"/>
            <w:noWrap/>
            <w:hideMark/>
          </w:tcPr>
          <w:p w14:paraId="4A70594F" w14:textId="0122BCC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#DIV/0!</w:t>
            </w:r>
          </w:p>
        </w:tc>
        <w:tc>
          <w:tcPr>
            <w:tcW w:w="1026" w:type="dxa"/>
            <w:noWrap/>
            <w:hideMark/>
          </w:tcPr>
          <w:p w14:paraId="531F1220" w14:textId="2C6E46C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$235,245 </w:t>
            </w:r>
          </w:p>
        </w:tc>
        <w:tc>
          <w:tcPr>
            <w:tcW w:w="1165" w:type="dxa"/>
            <w:noWrap/>
            <w:hideMark/>
          </w:tcPr>
          <w:p w14:paraId="6A073B13" w14:textId="3CE1860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0.0%</w:t>
            </w:r>
          </w:p>
        </w:tc>
      </w:tr>
      <w:tr w:rsidR="00EF1A6A" w:rsidRPr="007A4710" w14:paraId="2762A710" w14:textId="77777777" w:rsidTr="00EF1A6A">
        <w:trPr>
          <w:trHeight w:val="268"/>
        </w:trPr>
        <w:tc>
          <w:tcPr>
            <w:tcW w:w="2495" w:type="dxa"/>
            <w:noWrap/>
            <w:hideMark/>
          </w:tcPr>
          <w:p w14:paraId="64EEC95C" w14:textId="39332C2C"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Citywide Non-Arterial Mill, Patch &amp; Overlay </w:t>
            </w:r>
          </w:p>
        </w:tc>
        <w:tc>
          <w:tcPr>
            <w:tcW w:w="864" w:type="dxa"/>
            <w:noWrap/>
            <w:hideMark/>
          </w:tcPr>
          <w:p w14:paraId="37AFB05B" w14:textId="552571E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6A0D560B" w14:textId="0144D90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$2,149,948 </w:t>
            </w:r>
          </w:p>
        </w:tc>
        <w:tc>
          <w:tcPr>
            <w:tcW w:w="1026" w:type="dxa"/>
            <w:noWrap/>
            <w:hideMark/>
          </w:tcPr>
          <w:p w14:paraId="1CAACCAC" w14:textId="5EAE84B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$215,002 </w:t>
            </w:r>
          </w:p>
        </w:tc>
        <w:tc>
          <w:tcPr>
            <w:tcW w:w="1187" w:type="dxa"/>
            <w:noWrap/>
            <w:hideMark/>
          </w:tcPr>
          <w:p w14:paraId="5F7AB2CE" w14:textId="29F4FF1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8.1%</w:t>
            </w:r>
          </w:p>
        </w:tc>
        <w:tc>
          <w:tcPr>
            <w:tcW w:w="1312" w:type="dxa"/>
            <w:noWrap/>
            <w:hideMark/>
          </w:tcPr>
          <w:p w14:paraId="012A7E41" w14:textId="55475E7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$1,777,452.20 </w:t>
            </w:r>
          </w:p>
        </w:tc>
        <w:tc>
          <w:tcPr>
            <w:tcW w:w="1026" w:type="dxa"/>
            <w:noWrap/>
            <w:hideMark/>
          </w:tcPr>
          <w:p w14:paraId="563A28ED" w14:textId="311DEAE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$277,923 </w:t>
            </w:r>
          </w:p>
        </w:tc>
        <w:tc>
          <w:tcPr>
            <w:tcW w:w="1165" w:type="dxa"/>
            <w:noWrap/>
            <w:hideMark/>
          </w:tcPr>
          <w:p w14:paraId="1040F779" w14:textId="4E7CF87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15.6%</w:t>
            </w:r>
          </w:p>
        </w:tc>
      </w:tr>
      <w:tr w:rsidR="00EF1A6A" w:rsidRPr="007A4710" w14:paraId="69976456" w14:textId="77777777" w:rsidTr="00EF1A6A">
        <w:trPr>
          <w:trHeight w:val="268"/>
        </w:trPr>
        <w:tc>
          <w:tcPr>
            <w:tcW w:w="2495" w:type="dxa"/>
            <w:noWrap/>
            <w:hideMark/>
          </w:tcPr>
          <w:p w14:paraId="0EAFDCF1" w14:textId="74BDE624"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Concrete Street Maintenance</w:t>
            </w:r>
          </w:p>
        </w:tc>
        <w:tc>
          <w:tcPr>
            <w:tcW w:w="864" w:type="dxa"/>
            <w:noWrap/>
            <w:hideMark/>
          </w:tcPr>
          <w:p w14:paraId="0BBBD203" w14:textId="1D9E31A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F746301" w14:textId="4383F69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$1,130,805 </w:t>
            </w:r>
          </w:p>
        </w:tc>
        <w:tc>
          <w:tcPr>
            <w:tcW w:w="1026" w:type="dxa"/>
            <w:noWrap/>
            <w:hideMark/>
          </w:tcPr>
          <w:p w14:paraId="6F06F3C1" w14:textId="332D642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$225,176 </w:t>
            </w:r>
          </w:p>
        </w:tc>
        <w:tc>
          <w:tcPr>
            <w:tcW w:w="1187" w:type="dxa"/>
            <w:noWrap/>
            <w:hideMark/>
          </w:tcPr>
          <w:p w14:paraId="78C21D82" w14:textId="2440016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19.5%</w:t>
            </w:r>
          </w:p>
        </w:tc>
        <w:tc>
          <w:tcPr>
            <w:tcW w:w="1312" w:type="dxa"/>
            <w:noWrap/>
            <w:hideMark/>
          </w:tcPr>
          <w:p w14:paraId="49F301BB" w14:textId="7D5332A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$1,473,523.96 </w:t>
            </w:r>
          </w:p>
        </w:tc>
        <w:tc>
          <w:tcPr>
            <w:tcW w:w="1026" w:type="dxa"/>
            <w:noWrap/>
            <w:hideMark/>
          </w:tcPr>
          <w:p w14:paraId="0A96465E" w14:textId="5902EB8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$225,018 </w:t>
            </w:r>
          </w:p>
        </w:tc>
        <w:tc>
          <w:tcPr>
            <w:tcW w:w="1165" w:type="dxa"/>
            <w:noWrap/>
            <w:hideMark/>
          </w:tcPr>
          <w:p w14:paraId="4216390C" w14:textId="29E3E96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17.6%</w:t>
            </w:r>
          </w:p>
        </w:tc>
      </w:tr>
      <w:tr w:rsidR="00EF1A6A" w:rsidRPr="007A4710" w14:paraId="597156BB" w14:textId="77777777" w:rsidTr="00EF1A6A">
        <w:trPr>
          <w:trHeight w:val="268"/>
        </w:trPr>
        <w:tc>
          <w:tcPr>
            <w:tcW w:w="2495" w:type="dxa"/>
            <w:noWrap/>
            <w:hideMark/>
          </w:tcPr>
          <w:p w14:paraId="6FF1356B" w14:textId="111C52A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Concrete Street Maintenance 21st St from HWY 169 to Garnett &amp; Garnett from 41st Street to 51st Street</w:t>
            </w:r>
          </w:p>
        </w:tc>
        <w:tc>
          <w:tcPr>
            <w:tcW w:w="864" w:type="dxa"/>
            <w:noWrap/>
            <w:hideMark/>
          </w:tcPr>
          <w:p w14:paraId="139B4595" w14:textId="73C4E8B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46C91469" w14:textId="0157394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$1,130,805 </w:t>
            </w:r>
          </w:p>
        </w:tc>
        <w:tc>
          <w:tcPr>
            <w:tcW w:w="1026" w:type="dxa"/>
            <w:noWrap/>
            <w:hideMark/>
          </w:tcPr>
          <w:p w14:paraId="2B20CB39" w14:textId="69B5180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$112,588 </w:t>
            </w:r>
          </w:p>
        </w:tc>
        <w:tc>
          <w:tcPr>
            <w:tcW w:w="1187" w:type="dxa"/>
            <w:noWrap/>
            <w:hideMark/>
          </w:tcPr>
          <w:p w14:paraId="242123B3" w14:textId="3952654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9.8%</w:t>
            </w:r>
          </w:p>
        </w:tc>
        <w:tc>
          <w:tcPr>
            <w:tcW w:w="1312" w:type="dxa"/>
            <w:noWrap/>
            <w:hideMark/>
          </w:tcPr>
          <w:p w14:paraId="26634346" w14:textId="40C8DA9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$1,473,523.96 </w:t>
            </w:r>
          </w:p>
        </w:tc>
        <w:tc>
          <w:tcPr>
            <w:tcW w:w="1026" w:type="dxa"/>
            <w:noWrap/>
            <w:hideMark/>
          </w:tcPr>
          <w:p w14:paraId="4918A594" w14:textId="7C8BBBE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$111,509 </w:t>
            </w:r>
          </w:p>
        </w:tc>
        <w:tc>
          <w:tcPr>
            <w:tcW w:w="1165" w:type="dxa"/>
            <w:noWrap/>
            <w:hideMark/>
          </w:tcPr>
          <w:p w14:paraId="5194EDBD" w14:textId="196DBFF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7.6%</w:t>
            </w:r>
          </w:p>
        </w:tc>
      </w:tr>
      <w:tr w:rsidR="00EF1A6A" w:rsidRPr="007A4710" w14:paraId="6ABFB9AC" w14:textId="77777777" w:rsidTr="00EF1A6A">
        <w:trPr>
          <w:trHeight w:val="268"/>
        </w:trPr>
        <w:tc>
          <w:tcPr>
            <w:tcW w:w="2495" w:type="dxa"/>
            <w:noWrap/>
            <w:hideMark/>
          </w:tcPr>
          <w:p w14:paraId="6C19336D" w14:textId="770D176D"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Non-Arterial Mill Patch &amp; Overlay Citywide</w:t>
            </w:r>
          </w:p>
        </w:tc>
        <w:tc>
          <w:tcPr>
            <w:tcW w:w="864" w:type="dxa"/>
            <w:noWrap/>
            <w:hideMark/>
          </w:tcPr>
          <w:p w14:paraId="1DD6C13B" w14:textId="1D3D486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52BFA5CF" w14:textId="3686C36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$1,326,197 </w:t>
            </w:r>
          </w:p>
        </w:tc>
        <w:tc>
          <w:tcPr>
            <w:tcW w:w="1026" w:type="dxa"/>
            <w:noWrap/>
            <w:hideMark/>
          </w:tcPr>
          <w:p w14:paraId="1D48EAF1" w14:textId="558DFCF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$132,624 </w:t>
            </w:r>
          </w:p>
        </w:tc>
        <w:tc>
          <w:tcPr>
            <w:tcW w:w="1187" w:type="dxa"/>
            <w:noWrap/>
            <w:hideMark/>
          </w:tcPr>
          <w:p w14:paraId="1169D2E1" w14:textId="715C5B8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11.7%</w:t>
            </w:r>
          </w:p>
        </w:tc>
        <w:tc>
          <w:tcPr>
            <w:tcW w:w="1312" w:type="dxa"/>
            <w:noWrap/>
            <w:hideMark/>
          </w:tcPr>
          <w:p w14:paraId="23CBC57A" w14:textId="22121E2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$1,473,117.51 </w:t>
            </w:r>
          </w:p>
        </w:tc>
        <w:tc>
          <w:tcPr>
            <w:tcW w:w="1026" w:type="dxa"/>
            <w:noWrap/>
            <w:hideMark/>
          </w:tcPr>
          <w:p w14:paraId="5B639496" w14:textId="65DB191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$220,523 </w:t>
            </w:r>
          </w:p>
        </w:tc>
        <w:tc>
          <w:tcPr>
            <w:tcW w:w="1165" w:type="dxa"/>
            <w:noWrap/>
            <w:hideMark/>
          </w:tcPr>
          <w:p w14:paraId="16483256" w14:textId="5F08822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15.0%</w:t>
            </w:r>
          </w:p>
        </w:tc>
      </w:tr>
      <w:tr w:rsidR="00EF1A6A" w:rsidRPr="007A4710" w14:paraId="4E035125" w14:textId="77777777" w:rsidTr="00EF1A6A">
        <w:trPr>
          <w:trHeight w:val="268"/>
        </w:trPr>
        <w:tc>
          <w:tcPr>
            <w:tcW w:w="2495" w:type="dxa"/>
            <w:noWrap/>
            <w:hideMark/>
          </w:tcPr>
          <w:p w14:paraId="5842F0AC" w14:textId="7EF65C6B"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Tulsa Parks Department Reed Center Repair</w:t>
            </w:r>
          </w:p>
        </w:tc>
        <w:tc>
          <w:tcPr>
            <w:tcW w:w="864" w:type="dxa"/>
            <w:noWrap/>
            <w:hideMark/>
          </w:tcPr>
          <w:p w14:paraId="1B17D39F" w14:textId="763E4ED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7C1E4C21" w14:textId="1ED48FD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$266,031 </w:t>
            </w:r>
          </w:p>
        </w:tc>
        <w:tc>
          <w:tcPr>
            <w:tcW w:w="1026" w:type="dxa"/>
            <w:noWrap/>
            <w:hideMark/>
          </w:tcPr>
          <w:p w14:paraId="315B983B" w14:textId="1B26E03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$30,320 </w:t>
            </w:r>
          </w:p>
        </w:tc>
        <w:tc>
          <w:tcPr>
            <w:tcW w:w="1187" w:type="dxa"/>
            <w:noWrap/>
            <w:hideMark/>
          </w:tcPr>
          <w:p w14:paraId="21EBEE38" w14:textId="17DD58C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2.6%</w:t>
            </w:r>
          </w:p>
        </w:tc>
        <w:tc>
          <w:tcPr>
            <w:tcW w:w="1312" w:type="dxa"/>
            <w:noWrap/>
            <w:hideMark/>
          </w:tcPr>
          <w:p w14:paraId="731EAB90" w14:textId="171CEBC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$251,441.68 </w:t>
            </w:r>
          </w:p>
        </w:tc>
        <w:tc>
          <w:tcPr>
            <w:tcW w:w="1026" w:type="dxa"/>
            <w:noWrap/>
            <w:hideMark/>
          </w:tcPr>
          <w:p w14:paraId="7AA8AF9E" w14:textId="7877B66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$33,960 </w:t>
            </w:r>
          </w:p>
        </w:tc>
        <w:tc>
          <w:tcPr>
            <w:tcW w:w="1165" w:type="dxa"/>
            <w:noWrap/>
            <w:hideMark/>
          </w:tcPr>
          <w:p w14:paraId="3466276D" w14:textId="676CCDD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13.5%</w:t>
            </w:r>
          </w:p>
        </w:tc>
      </w:tr>
      <w:tr w:rsidR="00EF1A6A" w:rsidRPr="007A4710" w14:paraId="0A2E02C6" w14:textId="77777777" w:rsidTr="00EF1A6A">
        <w:trPr>
          <w:trHeight w:val="268"/>
        </w:trPr>
        <w:tc>
          <w:tcPr>
            <w:tcW w:w="2495" w:type="dxa"/>
            <w:noWrap/>
            <w:hideMark/>
          </w:tcPr>
          <w:p w14:paraId="704CDC65" w14:textId="43C2FF3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Tulsa Zoo Rainforest Roof Replacement</w:t>
            </w:r>
          </w:p>
        </w:tc>
        <w:tc>
          <w:tcPr>
            <w:tcW w:w="864" w:type="dxa"/>
            <w:noWrap/>
            <w:hideMark/>
          </w:tcPr>
          <w:p w14:paraId="4FAFF45E" w14:textId="5BAE4E4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2C3EA6B9" w14:textId="64B14AE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$1,512,463 </w:t>
            </w:r>
          </w:p>
        </w:tc>
        <w:tc>
          <w:tcPr>
            <w:tcW w:w="1026" w:type="dxa"/>
            <w:noWrap/>
            <w:hideMark/>
          </w:tcPr>
          <w:p w14:paraId="7A8EC23F" w14:textId="25A10F7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$30,207 </w:t>
            </w:r>
          </w:p>
        </w:tc>
        <w:tc>
          <w:tcPr>
            <w:tcW w:w="1187" w:type="dxa"/>
            <w:noWrap/>
            <w:hideMark/>
          </w:tcPr>
          <w:p w14:paraId="51BEF02F" w14:textId="4050EE5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2.1%</w:t>
            </w:r>
          </w:p>
        </w:tc>
        <w:tc>
          <w:tcPr>
            <w:tcW w:w="1312" w:type="dxa"/>
            <w:noWrap/>
            <w:hideMark/>
          </w:tcPr>
          <w:p w14:paraId="25111A4F" w14:textId="3943E06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$1,366,409.20 </w:t>
            </w:r>
          </w:p>
        </w:tc>
        <w:tc>
          <w:tcPr>
            <w:tcW w:w="1026" w:type="dxa"/>
            <w:noWrap/>
            <w:hideMark/>
          </w:tcPr>
          <w:p w14:paraId="1C2B1D5F" w14:textId="4B0045E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$30,207 </w:t>
            </w:r>
          </w:p>
        </w:tc>
        <w:tc>
          <w:tcPr>
            <w:tcW w:w="1165" w:type="dxa"/>
            <w:noWrap/>
            <w:hideMark/>
          </w:tcPr>
          <w:p w14:paraId="3D1282BB" w14:textId="713D0D2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2.2%</w:t>
            </w:r>
          </w:p>
        </w:tc>
      </w:tr>
      <w:tr w:rsidR="00EF1A6A" w:rsidRPr="007A4710" w14:paraId="0B5A4468" w14:textId="77777777" w:rsidTr="00EF1A6A">
        <w:trPr>
          <w:trHeight w:val="268"/>
        </w:trPr>
        <w:tc>
          <w:tcPr>
            <w:tcW w:w="2495" w:type="dxa"/>
            <w:noWrap/>
            <w:hideMark/>
          </w:tcPr>
          <w:p w14:paraId="222D1A4F" w14:textId="7C8BB775" w:rsidR="00FA048B" w:rsidRPr="00FA048B" w:rsidRDefault="00FA048B" w:rsidP="00FA048B">
            <w:pPr>
              <w:spacing w:line="240" w:lineRule="auto"/>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Zeigler Park Water Playground</w:t>
            </w:r>
          </w:p>
        </w:tc>
        <w:tc>
          <w:tcPr>
            <w:tcW w:w="864" w:type="dxa"/>
            <w:noWrap/>
            <w:hideMark/>
          </w:tcPr>
          <w:p w14:paraId="3756FAE7" w14:textId="1709F1C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EE43E38" w14:textId="738E0755"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$470,986 </w:t>
            </w:r>
          </w:p>
        </w:tc>
        <w:tc>
          <w:tcPr>
            <w:tcW w:w="1026" w:type="dxa"/>
            <w:noWrap/>
            <w:hideMark/>
          </w:tcPr>
          <w:p w14:paraId="3533BD11" w14:textId="2ABC3B1F"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$52,000 </w:t>
            </w:r>
          </w:p>
        </w:tc>
        <w:tc>
          <w:tcPr>
            <w:tcW w:w="1187" w:type="dxa"/>
            <w:noWrap/>
            <w:hideMark/>
          </w:tcPr>
          <w:p w14:paraId="1CE8FD09" w14:textId="1234D5D4"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11.0%</w:t>
            </w:r>
          </w:p>
        </w:tc>
        <w:tc>
          <w:tcPr>
            <w:tcW w:w="1312" w:type="dxa"/>
            <w:noWrap/>
            <w:hideMark/>
          </w:tcPr>
          <w:p w14:paraId="313FFD2A" w14:textId="0FFBD706"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$463,349.94 </w:t>
            </w:r>
          </w:p>
        </w:tc>
        <w:tc>
          <w:tcPr>
            <w:tcW w:w="1026" w:type="dxa"/>
            <w:noWrap/>
            <w:hideMark/>
          </w:tcPr>
          <w:p w14:paraId="7EE00540" w14:textId="4B74ACB6"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 xml:space="preserve"> $52,000 </w:t>
            </w:r>
          </w:p>
        </w:tc>
        <w:tc>
          <w:tcPr>
            <w:tcW w:w="1165" w:type="dxa"/>
            <w:noWrap/>
            <w:hideMark/>
          </w:tcPr>
          <w:p w14:paraId="73367603" w14:textId="5612B069" w:rsidR="00FA048B" w:rsidRPr="00FA048B" w:rsidRDefault="00FA048B" w:rsidP="007A4710">
            <w:pPr>
              <w:spacing w:line="240" w:lineRule="auto"/>
              <w:jc w:val="right"/>
              <w:rPr>
                <w:rFonts w:asciiTheme="majorHAnsi" w:eastAsia="Times New Roman" w:hAnsiTheme="majorHAnsi" w:cstheme="majorHAnsi"/>
                <w:sz w:val="14"/>
                <w:szCs w:val="14"/>
              </w:rPr>
            </w:pPr>
            <w:r w:rsidRPr="007A4710">
              <w:rPr>
                <w:rFonts w:asciiTheme="majorHAnsi" w:hAnsiTheme="majorHAnsi" w:cstheme="majorHAnsi"/>
                <w:sz w:val="14"/>
                <w:szCs w:val="14"/>
              </w:rPr>
              <w:t>11.2%</w:t>
            </w:r>
          </w:p>
        </w:tc>
      </w:tr>
      <w:tr w:rsidR="00EF1A6A" w:rsidRPr="007A4710" w14:paraId="4C0B553B" w14:textId="77777777" w:rsidTr="00EF1A6A">
        <w:trPr>
          <w:trHeight w:val="268"/>
        </w:trPr>
        <w:tc>
          <w:tcPr>
            <w:tcW w:w="2495" w:type="dxa"/>
            <w:shd w:val="clear" w:color="auto" w:fill="5B9BD5" w:themeFill="accent5"/>
            <w:noWrap/>
            <w:hideMark/>
          </w:tcPr>
          <w:p w14:paraId="20FF123D" w14:textId="6576CD63" w:rsidR="00FA048B" w:rsidRPr="00FA048B" w:rsidRDefault="00FA048B" w:rsidP="00FA048B">
            <w:pPr>
              <w:spacing w:line="240" w:lineRule="auto"/>
              <w:ind w:firstLineChars="100" w:firstLine="141"/>
              <w:rPr>
                <w:rFonts w:asciiTheme="majorHAnsi" w:eastAsia="Times New Roman" w:hAnsiTheme="majorHAnsi" w:cstheme="majorHAnsi"/>
                <w:b/>
                <w:bCs/>
                <w:color w:val="FFFFFF" w:themeColor="background1"/>
                <w:sz w:val="14"/>
                <w:szCs w:val="14"/>
              </w:rPr>
            </w:pPr>
            <w:r w:rsidRPr="007A4710">
              <w:rPr>
                <w:rFonts w:asciiTheme="majorHAnsi" w:hAnsiTheme="majorHAnsi" w:cstheme="majorHAnsi"/>
                <w:b/>
                <w:bCs/>
                <w:color w:val="FFFFFF" w:themeColor="background1"/>
                <w:sz w:val="14"/>
                <w:szCs w:val="14"/>
              </w:rPr>
              <w:t>2021</w:t>
            </w:r>
          </w:p>
        </w:tc>
        <w:tc>
          <w:tcPr>
            <w:tcW w:w="864" w:type="dxa"/>
            <w:shd w:val="clear" w:color="auto" w:fill="5B9BD5" w:themeFill="accent5"/>
            <w:noWrap/>
            <w:hideMark/>
          </w:tcPr>
          <w:p w14:paraId="746B7A6F" w14:textId="19B236BE"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05" w:type="dxa"/>
            <w:shd w:val="clear" w:color="auto" w:fill="5B9BD5" w:themeFill="accent5"/>
            <w:noWrap/>
            <w:hideMark/>
          </w:tcPr>
          <w:p w14:paraId="5A44F114" w14:textId="64EAE074"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21E176BE" w14:textId="21B19C48"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87" w:type="dxa"/>
            <w:shd w:val="clear" w:color="auto" w:fill="5B9BD5" w:themeFill="accent5"/>
            <w:noWrap/>
            <w:hideMark/>
          </w:tcPr>
          <w:p w14:paraId="61950EC5" w14:textId="35C53D57"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312" w:type="dxa"/>
            <w:shd w:val="clear" w:color="auto" w:fill="5B9BD5" w:themeFill="accent5"/>
            <w:noWrap/>
            <w:hideMark/>
          </w:tcPr>
          <w:p w14:paraId="2E647ACD" w14:textId="6ACEFB82"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026" w:type="dxa"/>
            <w:shd w:val="clear" w:color="auto" w:fill="5B9BD5" w:themeFill="accent5"/>
            <w:noWrap/>
            <w:hideMark/>
          </w:tcPr>
          <w:p w14:paraId="5FC7DF24" w14:textId="2193A051"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c>
          <w:tcPr>
            <w:tcW w:w="1165" w:type="dxa"/>
            <w:shd w:val="clear" w:color="auto" w:fill="5B9BD5" w:themeFill="accent5"/>
            <w:noWrap/>
            <w:hideMark/>
          </w:tcPr>
          <w:p w14:paraId="11C84BA9" w14:textId="377A0118" w:rsidR="00FA048B" w:rsidRPr="00FA048B" w:rsidRDefault="00FA048B" w:rsidP="007A4710">
            <w:pPr>
              <w:spacing w:line="240" w:lineRule="auto"/>
              <w:jc w:val="right"/>
              <w:rPr>
                <w:rFonts w:asciiTheme="majorHAnsi" w:eastAsia="Times New Roman" w:hAnsiTheme="majorHAnsi" w:cstheme="majorHAnsi"/>
                <w:b/>
                <w:bCs/>
                <w:color w:val="FFFFFF" w:themeColor="background1"/>
                <w:sz w:val="14"/>
                <w:szCs w:val="14"/>
              </w:rPr>
            </w:pPr>
          </w:p>
        </w:tc>
      </w:tr>
      <w:tr w:rsidR="00EF1A6A" w:rsidRPr="007A4710" w14:paraId="46F39806" w14:textId="77777777" w:rsidTr="00EF1A6A">
        <w:trPr>
          <w:trHeight w:val="268"/>
        </w:trPr>
        <w:tc>
          <w:tcPr>
            <w:tcW w:w="2495" w:type="dxa"/>
            <w:noWrap/>
            <w:hideMark/>
          </w:tcPr>
          <w:p w14:paraId="69D1932B" w14:textId="3EA13460"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Arterial Mill Patch &amp; Overlay Citywide </w:t>
            </w:r>
          </w:p>
        </w:tc>
        <w:tc>
          <w:tcPr>
            <w:tcW w:w="864" w:type="dxa"/>
            <w:noWrap/>
            <w:hideMark/>
          </w:tcPr>
          <w:p w14:paraId="2807D78D" w14:textId="7B103C7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17.4%</w:t>
            </w:r>
          </w:p>
        </w:tc>
        <w:tc>
          <w:tcPr>
            <w:tcW w:w="1005" w:type="dxa"/>
            <w:noWrap/>
            <w:hideMark/>
          </w:tcPr>
          <w:p w14:paraId="4FE50A86" w14:textId="6C60E9F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$1,011,545 </w:t>
            </w:r>
          </w:p>
        </w:tc>
        <w:tc>
          <w:tcPr>
            <w:tcW w:w="1026" w:type="dxa"/>
            <w:noWrap/>
            <w:hideMark/>
          </w:tcPr>
          <w:p w14:paraId="20D18967" w14:textId="5747DC2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$110,000 </w:t>
            </w:r>
          </w:p>
        </w:tc>
        <w:tc>
          <w:tcPr>
            <w:tcW w:w="1187" w:type="dxa"/>
            <w:noWrap/>
            <w:hideMark/>
          </w:tcPr>
          <w:p w14:paraId="2190FC47" w14:textId="5A449FF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10.9%</w:t>
            </w:r>
          </w:p>
        </w:tc>
        <w:tc>
          <w:tcPr>
            <w:tcW w:w="1312" w:type="dxa"/>
            <w:noWrap/>
            <w:hideMark/>
          </w:tcPr>
          <w:p w14:paraId="522AEAB0" w14:textId="64A6672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$907,462.10 </w:t>
            </w:r>
          </w:p>
        </w:tc>
        <w:tc>
          <w:tcPr>
            <w:tcW w:w="1026" w:type="dxa"/>
            <w:noWrap/>
            <w:hideMark/>
          </w:tcPr>
          <w:p w14:paraId="537A32EF" w14:textId="4EDEB00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$158,006 </w:t>
            </w:r>
          </w:p>
        </w:tc>
        <w:tc>
          <w:tcPr>
            <w:tcW w:w="1165" w:type="dxa"/>
            <w:noWrap/>
            <w:hideMark/>
          </w:tcPr>
          <w:p w14:paraId="1200E23A" w14:textId="2A86350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17.4%</w:t>
            </w:r>
          </w:p>
        </w:tc>
      </w:tr>
      <w:tr w:rsidR="00EF1A6A" w:rsidRPr="007A4710" w14:paraId="0B15D0AE" w14:textId="77777777" w:rsidTr="00EF1A6A">
        <w:trPr>
          <w:trHeight w:val="268"/>
        </w:trPr>
        <w:tc>
          <w:tcPr>
            <w:tcW w:w="2495" w:type="dxa"/>
            <w:noWrap/>
            <w:hideMark/>
          </w:tcPr>
          <w:p w14:paraId="0A1BE690" w14:textId="15EECFE8"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Arterial Mill, Patch &amp; Overlay Citywide</w:t>
            </w:r>
          </w:p>
        </w:tc>
        <w:tc>
          <w:tcPr>
            <w:tcW w:w="864" w:type="dxa"/>
            <w:noWrap/>
            <w:hideMark/>
          </w:tcPr>
          <w:p w14:paraId="6B68E79E" w14:textId="7F1529C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28A9947" w14:textId="41775BC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$551,750 </w:t>
            </w:r>
          </w:p>
        </w:tc>
        <w:tc>
          <w:tcPr>
            <w:tcW w:w="1026" w:type="dxa"/>
            <w:noWrap/>
            <w:hideMark/>
          </w:tcPr>
          <w:p w14:paraId="0A26FC75" w14:textId="46B59B1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$57,819 </w:t>
            </w:r>
          </w:p>
        </w:tc>
        <w:tc>
          <w:tcPr>
            <w:tcW w:w="1187" w:type="dxa"/>
            <w:noWrap/>
            <w:hideMark/>
          </w:tcPr>
          <w:p w14:paraId="14AFC8CF" w14:textId="3F8BFAD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10.5%</w:t>
            </w:r>
          </w:p>
        </w:tc>
        <w:tc>
          <w:tcPr>
            <w:tcW w:w="1312" w:type="dxa"/>
            <w:noWrap/>
            <w:hideMark/>
          </w:tcPr>
          <w:p w14:paraId="36B7586F" w14:textId="70B7483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$358,657.75 </w:t>
            </w:r>
          </w:p>
        </w:tc>
        <w:tc>
          <w:tcPr>
            <w:tcW w:w="1026" w:type="dxa"/>
            <w:noWrap/>
            <w:hideMark/>
          </w:tcPr>
          <w:p w14:paraId="32C86CBF" w14:textId="482DA84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$56,242 </w:t>
            </w:r>
          </w:p>
        </w:tc>
        <w:tc>
          <w:tcPr>
            <w:tcW w:w="1165" w:type="dxa"/>
            <w:noWrap/>
            <w:hideMark/>
          </w:tcPr>
          <w:p w14:paraId="4E00ADBB" w14:textId="7F5CDED8"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15.7%</w:t>
            </w:r>
          </w:p>
        </w:tc>
      </w:tr>
      <w:tr w:rsidR="00EF1A6A" w:rsidRPr="007A4710" w14:paraId="4754E903" w14:textId="77777777" w:rsidTr="00EF1A6A">
        <w:trPr>
          <w:trHeight w:val="268"/>
        </w:trPr>
        <w:tc>
          <w:tcPr>
            <w:tcW w:w="2495" w:type="dxa"/>
            <w:noWrap/>
            <w:hideMark/>
          </w:tcPr>
          <w:p w14:paraId="5EF34C58" w14:textId="676077EC"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Asphalt Overlay-Asphalt</w:t>
            </w:r>
          </w:p>
        </w:tc>
        <w:tc>
          <w:tcPr>
            <w:tcW w:w="864" w:type="dxa"/>
            <w:noWrap/>
            <w:hideMark/>
          </w:tcPr>
          <w:p w14:paraId="36C4C175" w14:textId="53CD308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353E7827" w14:textId="5AE5AF9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$668,641 </w:t>
            </w:r>
          </w:p>
        </w:tc>
        <w:tc>
          <w:tcPr>
            <w:tcW w:w="1026" w:type="dxa"/>
            <w:noWrap/>
            <w:hideMark/>
          </w:tcPr>
          <w:p w14:paraId="3894310F" w14:textId="6E5192B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$134,000 </w:t>
            </w:r>
          </w:p>
        </w:tc>
        <w:tc>
          <w:tcPr>
            <w:tcW w:w="1187" w:type="dxa"/>
            <w:noWrap/>
            <w:hideMark/>
          </w:tcPr>
          <w:p w14:paraId="282ACB77" w14:textId="3D664CB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20.0%</w:t>
            </w:r>
          </w:p>
        </w:tc>
        <w:tc>
          <w:tcPr>
            <w:tcW w:w="1312" w:type="dxa"/>
            <w:noWrap/>
            <w:hideMark/>
          </w:tcPr>
          <w:p w14:paraId="0CCC64DB" w14:textId="0466CF8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$515,284.80 </w:t>
            </w:r>
          </w:p>
        </w:tc>
        <w:tc>
          <w:tcPr>
            <w:tcW w:w="1026" w:type="dxa"/>
            <w:noWrap/>
            <w:hideMark/>
          </w:tcPr>
          <w:p w14:paraId="1845EA1F" w14:textId="43594A8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$179,974 </w:t>
            </w:r>
          </w:p>
        </w:tc>
        <w:tc>
          <w:tcPr>
            <w:tcW w:w="1165" w:type="dxa"/>
            <w:noWrap/>
            <w:hideMark/>
          </w:tcPr>
          <w:p w14:paraId="4D336274" w14:textId="78238DB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30.9%</w:t>
            </w:r>
          </w:p>
        </w:tc>
      </w:tr>
      <w:tr w:rsidR="00EF1A6A" w:rsidRPr="007A4710" w14:paraId="17823ECE" w14:textId="77777777" w:rsidTr="00EF1A6A">
        <w:trPr>
          <w:trHeight w:val="268"/>
        </w:trPr>
        <w:tc>
          <w:tcPr>
            <w:tcW w:w="2495" w:type="dxa"/>
            <w:noWrap/>
            <w:hideMark/>
          </w:tcPr>
          <w:p w14:paraId="1F7BEF02" w14:textId="2F50EF91"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lastRenderedPageBreak/>
              <w:t>Asphalt Overlay-Concrete</w:t>
            </w:r>
          </w:p>
        </w:tc>
        <w:tc>
          <w:tcPr>
            <w:tcW w:w="864" w:type="dxa"/>
            <w:noWrap/>
            <w:hideMark/>
          </w:tcPr>
          <w:p w14:paraId="708CEE2D" w14:textId="50FA60E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699A1501" w14:textId="6B8E770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$1,414,641 </w:t>
            </w:r>
          </w:p>
        </w:tc>
        <w:tc>
          <w:tcPr>
            <w:tcW w:w="1026" w:type="dxa"/>
            <w:noWrap/>
            <w:hideMark/>
          </w:tcPr>
          <w:p w14:paraId="5724AD7D" w14:textId="16D54E7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$650,080 </w:t>
            </w:r>
          </w:p>
        </w:tc>
        <w:tc>
          <w:tcPr>
            <w:tcW w:w="1187" w:type="dxa"/>
            <w:noWrap/>
            <w:hideMark/>
          </w:tcPr>
          <w:p w14:paraId="3520845B" w14:textId="48EFFE0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48.7%</w:t>
            </w:r>
          </w:p>
        </w:tc>
        <w:tc>
          <w:tcPr>
            <w:tcW w:w="1312" w:type="dxa"/>
            <w:noWrap/>
            <w:hideMark/>
          </w:tcPr>
          <w:p w14:paraId="3B8258C5" w14:textId="51D069E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$1,362,325.43 </w:t>
            </w:r>
          </w:p>
        </w:tc>
        <w:tc>
          <w:tcPr>
            <w:tcW w:w="1026" w:type="dxa"/>
            <w:noWrap/>
            <w:hideMark/>
          </w:tcPr>
          <w:p w14:paraId="129462DF" w14:textId="0C10CBA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$371,915 </w:t>
            </w:r>
          </w:p>
        </w:tc>
        <w:tc>
          <w:tcPr>
            <w:tcW w:w="1165" w:type="dxa"/>
            <w:noWrap/>
            <w:hideMark/>
          </w:tcPr>
          <w:p w14:paraId="61A1CEAA" w14:textId="49B271A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26.8%</w:t>
            </w:r>
          </w:p>
        </w:tc>
      </w:tr>
      <w:tr w:rsidR="00EF1A6A" w:rsidRPr="007A4710" w14:paraId="22AD86ED" w14:textId="77777777" w:rsidTr="00EF1A6A">
        <w:trPr>
          <w:trHeight w:val="268"/>
        </w:trPr>
        <w:tc>
          <w:tcPr>
            <w:tcW w:w="2495" w:type="dxa"/>
            <w:noWrap/>
            <w:hideMark/>
          </w:tcPr>
          <w:p w14:paraId="7AB01FA7" w14:textId="25A13C29"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Citywide Arterial Asphalt Overlay</w:t>
            </w:r>
          </w:p>
        </w:tc>
        <w:tc>
          <w:tcPr>
            <w:tcW w:w="864" w:type="dxa"/>
            <w:noWrap/>
            <w:hideMark/>
          </w:tcPr>
          <w:p w14:paraId="51BB3A0F" w14:textId="17F2CAA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6AF3CF9" w14:textId="50E9AE5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$1,165,942 </w:t>
            </w:r>
          </w:p>
        </w:tc>
        <w:tc>
          <w:tcPr>
            <w:tcW w:w="1026" w:type="dxa"/>
            <w:noWrap/>
            <w:hideMark/>
          </w:tcPr>
          <w:p w14:paraId="5BC2E908" w14:textId="467875E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$392,040 </w:t>
            </w:r>
          </w:p>
        </w:tc>
        <w:tc>
          <w:tcPr>
            <w:tcW w:w="1187" w:type="dxa"/>
            <w:noWrap/>
            <w:hideMark/>
          </w:tcPr>
          <w:p w14:paraId="5F72CA2C" w14:textId="37ECEA3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33.0%</w:t>
            </w:r>
          </w:p>
        </w:tc>
        <w:tc>
          <w:tcPr>
            <w:tcW w:w="1312" w:type="dxa"/>
            <w:noWrap/>
            <w:hideMark/>
          </w:tcPr>
          <w:p w14:paraId="51C2D3E6" w14:textId="6A785D9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$1,079,978.55 </w:t>
            </w:r>
          </w:p>
        </w:tc>
        <w:tc>
          <w:tcPr>
            <w:tcW w:w="1026" w:type="dxa"/>
            <w:noWrap/>
            <w:hideMark/>
          </w:tcPr>
          <w:p w14:paraId="3A47F732" w14:textId="0F7401D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$275,945 </w:t>
            </w:r>
          </w:p>
        </w:tc>
        <w:tc>
          <w:tcPr>
            <w:tcW w:w="1165" w:type="dxa"/>
            <w:noWrap/>
            <w:hideMark/>
          </w:tcPr>
          <w:p w14:paraId="75E30E6E" w14:textId="1992D85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31.1%</w:t>
            </w:r>
          </w:p>
        </w:tc>
      </w:tr>
      <w:tr w:rsidR="00EF1A6A" w:rsidRPr="007A4710" w14:paraId="4AEEFC93" w14:textId="77777777" w:rsidTr="00EF1A6A">
        <w:trPr>
          <w:trHeight w:val="268"/>
        </w:trPr>
        <w:tc>
          <w:tcPr>
            <w:tcW w:w="2495" w:type="dxa"/>
            <w:noWrap/>
            <w:hideMark/>
          </w:tcPr>
          <w:p w14:paraId="761DFA67" w14:textId="5B3270FA"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Citywide Arterial </w:t>
            </w:r>
            <w:proofErr w:type="spellStart"/>
            <w:r w:rsidRPr="007A4710">
              <w:rPr>
                <w:rFonts w:asciiTheme="majorHAnsi" w:hAnsiTheme="majorHAnsi" w:cstheme="majorHAnsi"/>
                <w:sz w:val="14"/>
                <w:szCs w:val="14"/>
              </w:rPr>
              <w:t>Microsurfacing</w:t>
            </w:r>
            <w:proofErr w:type="spellEnd"/>
          </w:p>
        </w:tc>
        <w:tc>
          <w:tcPr>
            <w:tcW w:w="864" w:type="dxa"/>
            <w:noWrap/>
            <w:hideMark/>
          </w:tcPr>
          <w:p w14:paraId="771C261E" w14:textId="5DD04B75"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DEF51E6" w14:textId="60BB4F0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$688,478 </w:t>
            </w:r>
          </w:p>
        </w:tc>
        <w:tc>
          <w:tcPr>
            <w:tcW w:w="1026" w:type="dxa"/>
            <w:noWrap/>
            <w:hideMark/>
          </w:tcPr>
          <w:p w14:paraId="3125A7EB" w14:textId="4C0F6CF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$42,969 </w:t>
            </w:r>
          </w:p>
        </w:tc>
        <w:tc>
          <w:tcPr>
            <w:tcW w:w="1187" w:type="dxa"/>
            <w:noWrap/>
            <w:hideMark/>
          </w:tcPr>
          <w:p w14:paraId="0CA7A12A" w14:textId="68CD210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6.2%</w:t>
            </w:r>
          </w:p>
        </w:tc>
        <w:tc>
          <w:tcPr>
            <w:tcW w:w="1312" w:type="dxa"/>
            <w:noWrap/>
            <w:hideMark/>
          </w:tcPr>
          <w:p w14:paraId="15DE83FB" w14:textId="70972553"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$610,129.50 </w:t>
            </w:r>
          </w:p>
        </w:tc>
        <w:tc>
          <w:tcPr>
            <w:tcW w:w="1026" w:type="dxa"/>
            <w:noWrap/>
            <w:hideMark/>
          </w:tcPr>
          <w:p w14:paraId="1479DEBF" w14:textId="4FB64BA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$19,804 </w:t>
            </w:r>
          </w:p>
        </w:tc>
        <w:tc>
          <w:tcPr>
            <w:tcW w:w="1165" w:type="dxa"/>
            <w:noWrap/>
            <w:hideMark/>
          </w:tcPr>
          <w:p w14:paraId="2262FF75" w14:textId="52675B96"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3.2%</w:t>
            </w:r>
          </w:p>
        </w:tc>
      </w:tr>
      <w:tr w:rsidR="00EF1A6A" w:rsidRPr="007A4710" w14:paraId="69B9FFED" w14:textId="77777777" w:rsidTr="00EF1A6A">
        <w:trPr>
          <w:trHeight w:val="268"/>
        </w:trPr>
        <w:tc>
          <w:tcPr>
            <w:tcW w:w="2495" w:type="dxa"/>
            <w:noWrap/>
            <w:hideMark/>
          </w:tcPr>
          <w:p w14:paraId="4D5C81C5" w14:textId="1B214C89"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Citywide Infrastructure </w:t>
            </w:r>
            <w:proofErr w:type="spellStart"/>
            <w:r w:rsidRPr="007A4710">
              <w:rPr>
                <w:rFonts w:asciiTheme="majorHAnsi" w:hAnsiTheme="majorHAnsi" w:cstheme="majorHAnsi"/>
                <w:sz w:val="14"/>
                <w:szCs w:val="14"/>
              </w:rPr>
              <w:t>Rehabiliation</w:t>
            </w:r>
            <w:proofErr w:type="spellEnd"/>
            <w:r w:rsidRPr="007A4710">
              <w:rPr>
                <w:rFonts w:asciiTheme="majorHAnsi" w:hAnsiTheme="majorHAnsi" w:cstheme="majorHAnsi"/>
                <w:sz w:val="14"/>
                <w:szCs w:val="14"/>
              </w:rPr>
              <w:t xml:space="preserve"> and Improvements </w:t>
            </w:r>
          </w:p>
        </w:tc>
        <w:tc>
          <w:tcPr>
            <w:tcW w:w="864" w:type="dxa"/>
            <w:noWrap/>
            <w:hideMark/>
          </w:tcPr>
          <w:p w14:paraId="70EB51C2" w14:textId="7FB4A94F"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0EAC6E99" w14:textId="5D3B39D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$4,607,000 </w:t>
            </w:r>
          </w:p>
        </w:tc>
        <w:tc>
          <w:tcPr>
            <w:tcW w:w="1026" w:type="dxa"/>
            <w:noWrap/>
            <w:hideMark/>
          </w:tcPr>
          <w:p w14:paraId="081BA573" w14:textId="061C7E6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$462,650 </w:t>
            </w:r>
          </w:p>
        </w:tc>
        <w:tc>
          <w:tcPr>
            <w:tcW w:w="1187" w:type="dxa"/>
            <w:noWrap/>
            <w:hideMark/>
          </w:tcPr>
          <w:p w14:paraId="27A6D34B" w14:textId="1AE102E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312" w:type="dxa"/>
            <w:noWrap/>
            <w:hideMark/>
          </w:tcPr>
          <w:p w14:paraId="4604A5A9" w14:textId="183A46A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$11,480,632.31 </w:t>
            </w:r>
          </w:p>
        </w:tc>
        <w:tc>
          <w:tcPr>
            <w:tcW w:w="1026" w:type="dxa"/>
            <w:noWrap/>
            <w:hideMark/>
          </w:tcPr>
          <w:p w14:paraId="3B540DD3" w14:textId="6498E66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$462,000 </w:t>
            </w:r>
          </w:p>
        </w:tc>
        <w:tc>
          <w:tcPr>
            <w:tcW w:w="1165" w:type="dxa"/>
            <w:noWrap/>
            <w:hideMark/>
          </w:tcPr>
          <w:p w14:paraId="22A331CB" w14:textId="4857551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4.0%</w:t>
            </w:r>
          </w:p>
        </w:tc>
      </w:tr>
      <w:tr w:rsidR="00EF1A6A" w:rsidRPr="007A4710" w14:paraId="0B2A958B" w14:textId="77777777" w:rsidTr="00EF1A6A">
        <w:trPr>
          <w:trHeight w:val="268"/>
        </w:trPr>
        <w:tc>
          <w:tcPr>
            <w:tcW w:w="2495" w:type="dxa"/>
            <w:noWrap/>
            <w:hideMark/>
          </w:tcPr>
          <w:p w14:paraId="1F9C165E" w14:textId="34D5F976"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Citywide Non-Arterial </w:t>
            </w:r>
            <w:proofErr w:type="spellStart"/>
            <w:r w:rsidRPr="007A4710">
              <w:rPr>
                <w:rFonts w:asciiTheme="majorHAnsi" w:hAnsiTheme="majorHAnsi" w:cstheme="majorHAnsi"/>
                <w:sz w:val="14"/>
                <w:szCs w:val="14"/>
              </w:rPr>
              <w:t>Microsurfacing</w:t>
            </w:r>
            <w:proofErr w:type="spellEnd"/>
          </w:p>
        </w:tc>
        <w:tc>
          <w:tcPr>
            <w:tcW w:w="864" w:type="dxa"/>
            <w:noWrap/>
            <w:hideMark/>
          </w:tcPr>
          <w:p w14:paraId="4212E3DF" w14:textId="39D1B417"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4.0%</w:t>
            </w:r>
          </w:p>
        </w:tc>
        <w:tc>
          <w:tcPr>
            <w:tcW w:w="1005" w:type="dxa"/>
            <w:noWrap/>
            <w:hideMark/>
          </w:tcPr>
          <w:p w14:paraId="69BCC60A" w14:textId="5D3CF212"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$581,339 </w:t>
            </w:r>
          </w:p>
        </w:tc>
        <w:tc>
          <w:tcPr>
            <w:tcW w:w="1026" w:type="dxa"/>
            <w:noWrap/>
            <w:hideMark/>
          </w:tcPr>
          <w:p w14:paraId="0A065A48" w14:textId="00D38FF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$23,125 </w:t>
            </w:r>
          </w:p>
        </w:tc>
        <w:tc>
          <w:tcPr>
            <w:tcW w:w="1187" w:type="dxa"/>
            <w:noWrap/>
            <w:hideMark/>
          </w:tcPr>
          <w:p w14:paraId="30C23E2B" w14:textId="0ACAF17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4.0%</w:t>
            </w:r>
          </w:p>
        </w:tc>
        <w:tc>
          <w:tcPr>
            <w:tcW w:w="1312" w:type="dxa"/>
            <w:noWrap/>
            <w:hideMark/>
          </w:tcPr>
          <w:p w14:paraId="26D7D270" w14:textId="3FA19D90"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$531,786.21 </w:t>
            </w:r>
          </w:p>
        </w:tc>
        <w:tc>
          <w:tcPr>
            <w:tcW w:w="1026" w:type="dxa"/>
            <w:noWrap/>
            <w:hideMark/>
          </w:tcPr>
          <w:p w14:paraId="40B0CBDC" w14:textId="7D625D1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$35,207 </w:t>
            </w:r>
          </w:p>
        </w:tc>
        <w:tc>
          <w:tcPr>
            <w:tcW w:w="1165" w:type="dxa"/>
            <w:noWrap/>
            <w:hideMark/>
          </w:tcPr>
          <w:p w14:paraId="5989811A" w14:textId="410BD39A"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6.6%</w:t>
            </w:r>
          </w:p>
        </w:tc>
      </w:tr>
      <w:tr w:rsidR="00EF1A6A" w:rsidRPr="007A4710" w14:paraId="0AAE684D" w14:textId="77777777" w:rsidTr="00EF1A6A">
        <w:trPr>
          <w:trHeight w:val="268"/>
        </w:trPr>
        <w:tc>
          <w:tcPr>
            <w:tcW w:w="2495" w:type="dxa"/>
            <w:noWrap/>
            <w:hideMark/>
          </w:tcPr>
          <w:p w14:paraId="7BB7B9D4" w14:textId="08390064"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Micro Surfacing</w:t>
            </w:r>
          </w:p>
        </w:tc>
        <w:tc>
          <w:tcPr>
            <w:tcW w:w="864" w:type="dxa"/>
            <w:noWrap/>
            <w:hideMark/>
          </w:tcPr>
          <w:p w14:paraId="5260ED08" w14:textId="1AAD3B3C"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5.1%</w:t>
            </w:r>
          </w:p>
        </w:tc>
        <w:tc>
          <w:tcPr>
            <w:tcW w:w="1005" w:type="dxa"/>
            <w:noWrap/>
            <w:hideMark/>
          </w:tcPr>
          <w:p w14:paraId="6B721ED9" w14:textId="0677A79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$634,908 </w:t>
            </w:r>
          </w:p>
        </w:tc>
        <w:tc>
          <w:tcPr>
            <w:tcW w:w="1026" w:type="dxa"/>
            <w:noWrap/>
            <w:hideMark/>
          </w:tcPr>
          <w:p w14:paraId="14166DF6" w14:textId="4E3ECFB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$131,313 </w:t>
            </w:r>
          </w:p>
        </w:tc>
        <w:tc>
          <w:tcPr>
            <w:tcW w:w="1187" w:type="dxa"/>
            <w:noWrap/>
            <w:hideMark/>
          </w:tcPr>
          <w:p w14:paraId="3B85250C" w14:textId="3BE181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20.3%</w:t>
            </w:r>
          </w:p>
        </w:tc>
        <w:tc>
          <w:tcPr>
            <w:tcW w:w="1312" w:type="dxa"/>
            <w:noWrap/>
            <w:hideMark/>
          </w:tcPr>
          <w:p w14:paraId="7DEB1D6A" w14:textId="338527F9"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$570,957.86 </w:t>
            </w:r>
          </w:p>
        </w:tc>
        <w:tc>
          <w:tcPr>
            <w:tcW w:w="1026" w:type="dxa"/>
            <w:noWrap/>
            <w:hideMark/>
          </w:tcPr>
          <w:p w14:paraId="3FD46677" w14:textId="48AD78B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$110,021 </w:t>
            </w:r>
          </w:p>
        </w:tc>
        <w:tc>
          <w:tcPr>
            <w:tcW w:w="1165" w:type="dxa"/>
            <w:noWrap/>
            <w:hideMark/>
          </w:tcPr>
          <w:p w14:paraId="526BBFEA" w14:textId="3F93523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21.2%</w:t>
            </w:r>
          </w:p>
        </w:tc>
      </w:tr>
      <w:tr w:rsidR="00EF1A6A" w:rsidRPr="007A4710" w14:paraId="619E0352" w14:textId="77777777" w:rsidTr="00EF1A6A">
        <w:trPr>
          <w:trHeight w:val="268"/>
        </w:trPr>
        <w:tc>
          <w:tcPr>
            <w:tcW w:w="2495" w:type="dxa"/>
            <w:noWrap/>
            <w:hideMark/>
          </w:tcPr>
          <w:p w14:paraId="5FE401DA" w14:textId="089EC525" w:rsidR="00FA048B" w:rsidRPr="00FA048B" w:rsidRDefault="00FA048B" w:rsidP="00FA048B">
            <w:pPr>
              <w:spacing w:line="240" w:lineRule="auto"/>
              <w:ind w:firstLineChars="100" w:firstLine="140"/>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Mill, Patch &amp; Overlay</w:t>
            </w:r>
          </w:p>
        </w:tc>
        <w:tc>
          <w:tcPr>
            <w:tcW w:w="864" w:type="dxa"/>
            <w:noWrap/>
            <w:hideMark/>
          </w:tcPr>
          <w:p w14:paraId="4927E4A8" w14:textId="1E96CB1B"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10.0%</w:t>
            </w:r>
          </w:p>
        </w:tc>
        <w:tc>
          <w:tcPr>
            <w:tcW w:w="1005" w:type="dxa"/>
            <w:noWrap/>
            <w:hideMark/>
          </w:tcPr>
          <w:p w14:paraId="1A7BE06B" w14:textId="394FEDC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$782,135 </w:t>
            </w:r>
          </w:p>
        </w:tc>
        <w:tc>
          <w:tcPr>
            <w:tcW w:w="1026" w:type="dxa"/>
            <w:noWrap/>
            <w:hideMark/>
          </w:tcPr>
          <w:p w14:paraId="1D5D251E" w14:textId="7F14424E"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$492,238 </w:t>
            </w:r>
          </w:p>
        </w:tc>
        <w:tc>
          <w:tcPr>
            <w:tcW w:w="1187" w:type="dxa"/>
            <w:noWrap/>
            <w:hideMark/>
          </w:tcPr>
          <w:p w14:paraId="1965A4E0" w14:textId="14713D9D"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62.9%</w:t>
            </w:r>
          </w:p>
        </w:tc>
        <w:tc>
          <w:tcPr>
            <w:tcW w:w="1312" w:type="dxa"/>
            <w:noWrap/>
            <w:hideMark/>
          </w:tcPr>
          <w:p w14:paraId="6B72E8F5" w14:textId="025304B4"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$663,068.13 </w:t>
            </w:r>
          </w:p>
        </w:tc>
        <w:tc>
          <w:tcPr>
            <w:tcW w:w="1026" w:type="dxa"/>
            <w:noWrap/>
            <w:hideMark/>
          </w:tcPr>
          <w:p w14:paraId="325FF910" w14:textId="7760FDE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 xml:space="preserve"> $579,855 </w:t>
            </w:r>
          </w:p>
        </w:tc>
        <w:tc>
          <w:tcPr>
            <w:tcW w:w="1165" w:type="dxa"/>
            <w:noWrap/>
            <w:hideMark/>
          </w:tcPr>
          <w:p w14:paraId="26E2B09B" w14:textId="7F26FEA1" w:rsidR="00FA048B" w:rsidRPr="00FA048B" w:rsidRDefault="00FA048B" w:rsidP="007A4710">
            <w:pPr>
              <w:spacing w:line="240" w:lineRule="auto"/>
              <w:jc w:val="right"/>
              <w:rPr>
                <w:rFonts w:asciiTheme="majorHAnsi" w:eastAsia="Times New Roman" w:hAnsiTheme="majorHAnsi" w:cstheme="majorHAnsi"/>
                <w:color w:val="000000"/>
                <w:sz w:val="14"/>
                <w:szCs w:val="14"/>
              </w:rPr>
            </w:pPr>
            <w:r w:rsidRPr="007A4710">
              <w:rPr>
                <w:rFonts w:asciiTheme="majorHAnsi" w:hAnsiTheme="majorHAnsi" w:cstheme="majorHAnsi"/>
                <w:sz w:val="14"/>
                <w:szCs w:val="14"/>
              </w:rPr>
              <w:t>79.7%</w:t>
            </w:r>
          </w:p>
        </w:tc>
      </w:tr>
    </w:tbl>
    <w:p w14:paraId="0F54BCE5" w14:textId="77777777" w:rsidR="00F770F7" w:rsidRPr="00F770F7" w:rsidRDefault="00F770F7" w:rsidP="5647B939">
      <w:pPr>
        <w:spacing w:line="276" w:lineRule="auto"/>
      </w:pPr>
    </w:p>
    <w:p w14:paraId="35ECA2DE" w14:textId="77777777" w:rsidR="00293794" w:rsidRDefault="00293794" w:rsidP="5647B939">
      <w:pPr>
        <w:spacing w:line="276" w:lineRule="auto"/>
      </w:pPr>
    </w:p>
    <w:p w14:paraId="58F03BAD" w14:textId="7AE40169" w:rsidR="00ED1793" w:rsidRDefault="008955BC" w:rsidP="007618E1">
      <w:pPr>
        <w:pStyle w:val="Heading2"/>
        <w:spacing w:line="276" w:lineRule="auto"/>
      </w:pPr>
      <w:r>
        <w:t xml:space="preserve">Appendix B. Project </w:t>
      </w:r>
      <w:r w:rsidR="00882286">
        <w:t xml:space="preserve">and Actual Expenses by SBE </w:t>
      </w:r>
    </w:p>
    <w:p w14:paraId="18170319" w14:textId="1C01932D" w:rsidR="007618E1" w:rsidRDefault="007618E1" w:rsidP="007618E1"/>
    <w:tbl>
      <w:tblPr>
        <w:tblStyle w:val="GridTable4-Accent1"/>
        <w:tblW w:w="7357" w:type="dxa"/>
        <w:tblLook w:val="0660" w:firstRow="1" w:lastRow="1" w:firstColumn="0" w:lastColumn="0" w:noHBand="1" w:noVBand="1"/>
      </w:tblPr>
      <w:tblGrid>
        <w:gridCol w:w="2462"/>
        <w:gridCol w:w="1628"/>
        <w:gridCol w:w="1572"/>
        <w:gridCol w:w="1695"/>
      </w:tblGrid>
      <w:tr w:rsidR="007618E1" w:rsidRPr="007618E1" w14:paraId="528D1DAE" w14:textId="77777777" w:rsidTr="2C3E9210">
        <w:trPr>
          <w:cnfStyle w:val="100000000000" w:firstRow="1" w:lastRow="0" w:firstColumn="0" w:lastColumn="0" w:oddVBand="0" w:evenVBand="0" w:oddHBand="0" w:evenHBand="0" w:firstRowFirstColumn="0" w:firstRowLastColumn="0" w:lastRowFirstColumn="0" w:lastRowLastColumn="0"/>
          <w:trHeight w:val="290"/>
        </w:trPr>
        <w:tc>
          <w:tcPr>
            <w:tcW w:w="2462" w:type="dxa"/>
            <w:hideMark/>
          </w:tcPr>
          <w:p w14:paraId="36608BFE" w14:textId="57BFF3BB" w:rsidR="007618E1" w:rsidRPr="007618E1" w:rsidRDefault="007618E1" w:rsidP="007618E1">
            <w:pPr>
              <w:spacing w:line="240" w:lineRule="auto"/>
              <w:rPr>
                <w:rFonts w:asciiTheme="majorHAnsi" w:eastAsia="Times New Roman" w:hAnsiTheme="majorHAnsi" w:cstheme="majorHAnsi"/>
                <w:color w:val="FFFFFF"/>
                <w:sz w:val="20"/>
                <w:szCs w:val="20"/>
              </w:rPr>
            </w:pPr>
            <w:r w:rsidRPr="007618E1">
              <w:rPr>
                <w:rFonts w:asciiTheme="majorHAnsi" w:hAnsiTheme="majorHAnsi" w:cstheme="majorHAnsi"/>
                <w:sz w:val="20"/>
                <w:szCs w:val="20"/>
              </w:rPr>
              <w:t>SBE Contractor</w:t>
            </w:r>
          </w:p>
        </w:tc>
        <w:tc>
          <w:tcPr>
            <w:tcW w:w="1628" w:type="dxa"/>
            <w:noWrap/>
            <w:hideMark/>
          </w:tcPr>
          <w:p w14:paraId="30E75C00" w14:textId="767EC5F7" w:rsidR="007618E1" w:rsidRPr="007618E1" w:rsidRDefault="007618E1" w:rsidP="007618E1">
            <w:pPr>
              <w:spacing w:line="240" w:lineRule="auto"/>
              <w:rPr>
                <w:rFonts w:asciiTheme="majorHAnsi" w:eastAsia="Times New Roman" w:hAnsiTheme="majorHAnsi" w:cstheme="majorHAnsi"/>
                <w:color w:val="FFFFFF"/>
                <w:sz w:val="20"/>
                <w:szCs w:val="20"/>
              </w:rPr>
            </w:pPr>
            <w:r w:rsidRPr="007618E1">
              <w:rPr>
                <w:rFonts w:asciiTheme="majorHAnsi" w:hAnsiTheme="majorHAnsi" w:cstheme="majorHAnsi"/>
                <w:sz w:val="20"/>
                <w:szCs w:val="20"/>
              </w:rPr>
              <w:t>No. of Projects</w:t>
            </w:r>
          </w:p>
        </w:tc>
        <w:tc>
          <w:tcPr>
            <w:tcW w:w="1572" w:type="dxa"/>
            <w:hideMark/>
          </w:tcPr>
          <w:p w14:paraId="36C145D7" w14:textId="033AB86C" w:rsidR="007618E1" w:rsidRPr="007618E1" w:rsidRDefault="007618E1" w:rsidP="007618E1">
            <w:pPr>
              <w:spacing w:line="240" w:lineRule="auto"/>
              <w:rPr>
                <w:rFonts w:asciiTheme="majorHAnsi" w:eastAsia="Times New Roman" w:hAnsiTheme="majorHAnsi" w:cstheme="majorHAnsi"/>
                <w:color w:val="FFFFFF"/>
                <w:sz w:val="20"/>
                <w:szCs w:val="20"/>
              </w:rPr>
            </w:pPr>
            <w:r w:rsidRPr="007618E1">
              <w:rPr>
                <w:rFonts w:asciiTheme="majorHAnsi" w:hAnsiTheme="majorHAnsi" w:cstheme="majorHAnsi"/>
                <w:sz w:val="20"/>
                <w:szCs w:val="20"/>
              </w:rPr>
              <w:t>Projected Amt</w:t>
            </w:r>
          </w:p>
        </w:tc>
        <w:tc>
          <w:tcPr>
            <w:tcW w:w="1695" w:type="dxa"/>
            <w:hideMark/>
          </w:tcPr>
          <w:p w14:paraId="2FA11AC7" w14:textId="691EEA0C" w:rsidR="007618E1" w:rsidRPr="007618E1" w:rsidRDefault="007618E1" w:rsidP="007618E1">
            <w:pPr>
              <w:spacing w:line="240" w:lineRule="auto"/>
              <w:rPr>
                <w:rFonts w:asciiTheme="majorHAnsi" w:eastAsia="Times New Roman" w:hAnsiTheme="majorHAnsi" w:cstheme="majorHAnsi"/>
                <w:color w:val="FFFFFF"/>
                <w:sz w:val="20"/>
                <w:szCs w:val="20"/>
              </w:rPr>
            </w:pPr>
            <w:r w:rsidRPr="007618E1">
              <w:rPr>
                <w:rFonts w:asciiTheme="majorHAnsi" w:hAnsiTheme="majorHAnsi" w:cstheme="majorHAnsi"/>
                <w:sz w:val="20"/>
                <w:szCs w:val="20"/>
              </w:rPr>
              <w:t>Actual Amt</w:t>
            </w:r>
          </w:p>
        </w:tc>
      </w:tr>
      <w:tr w:rsidR="00F22647" w:rsidRPr="007618E1" w14:paraId="56D8410B" w14:textId="77777777" w:rsidTr="2C3E9210">
        <w:trPr>
          <w:trHeight w:val="290"/>
        </w:trPr>
        <w:tc>
          <w:tcPr>
            <w:tcW w:w="2462" w:type="dxa"/>
            <w:noWrap/>
            <w:hideMark/>
          </w:tcPr>
          <w:p w14:paraId="0AB890CE" w14:textId="27511709"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Brown Co</w:t>
            </w:r>
          </w:p>
        </w:tc>
        <w:tc>
          <w:tcPr>
            <w:tcW w:w="1628" w:type="dxa"/>
            <w:noWrap/>
            <w:hideMark/>
          </w:tcPr>
          <w:p w14:paraId="6597D439" w14:textId="6FA2A32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30</w:t>
            </w:r>
          </w:p>
        </w:tc>
        <w:tc>
          <w:tcPr>
            <w:tcW w:w="1572" w:type="dxa"/>
            <w:noWrap/>
            <w:hideMark/>
          </w:tcPr>
          <w:p w14:paraId="0CB5810D" w14:textId="117A135E"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$2,597,934 </w:t>
            </w:r>
          </w:p>
        </w:tc>
        <w:tc>
          <w:tcPr>
            <w:tcW w:w="1695" w:type="dxa"/>
            <w:noWrap/>
            <w:hideMark/>
          </w:tcPr>
          <w:p w14:paraId="2A248A3E" w14:textId="74C94DF5"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$2,601,232 </w:t>
            </w:r>
          </w:p>
        </w:tc>
      </w:tr>
      <w:tr w:rsidR="00F22647" w:rsidRPr="007618E1" w14:paraId="731DB6B0" w14:textId="77777777" w:rsidTr="2C3E9210">
        <w:trPr>
          <w:trHeight w:val="290"/>
        </w:trPr>
        <w:tc>
          <w:tcPr>
            <w:tcW w:w="2462" w:type="dxa"/>
            <w:noWrap/>
            <w:hideMark/>
          </w:tcPr>
          <w:p w14:paraId="414418A4" w14:textId="1D4C346C"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Sooner Recon</w:t>
            </w:r>
          </w:p>
        </w:tc>
        <w:tc>
          <w:tcPr>
            <w:tcW w:w="1628" w:type="dxa"/>
            <w:noWrap/>
            <w:hideMark/>
          </w:tcPr>
          <w:p w14:paraId="6C7216A7" w14:textId="5213F01E"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6</w:t>
            </w:r>
          </w:p>
        </w:tc>
        <w:tc>
          <w:tcPr>
            <w:tcW w:w="1572" w:type="dxa"/>
            <w:noWrap/>
            <w:hideMark/>
          </w:tcPr>
          <w:p w14:paraId="6FDC0504" w14:textId="3FB6514E"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$1,839,631 </w:t>
            </w:r>
          </w:p>
        </w:tc>
        <w:tc>
          <w:tcPr>
            <w:tcW w:w="1695" w:type="dxa"/>
            <w:noWrap/>
            <w:hideMark/>
          </w:tcPr>
          <w:p w14:paraId="66B9707F" w14:textId="23C309AC"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$1,997,079 </w:t>
            </w:r>
          </w:p>
        </w:tc>
      </w:tr>
      <w:tr w:rsidR="00F22647" w:rsidRPr="007618E1" w14:paraId="6C9D8158" w14:textId="77777777" w:rsidTr="2C3E9210">
        <w:trPr>
          <w:trHeight w:val="290"/>
        </w:trPr>
        <w:tc>
          <w:tcPr>
            <w:tcW w:w="2462" w:type="dxa"/>
            <w:noWrap/>
            <w:hideMark/>
          </w:tcPr>
          <w:p w14:paraId="55F6761F" w14:textId="797AF76C"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Mustang Trucking</w:t>
            </w:r>
          </w:p>
        </w:tc>
        <w:tc>
          <w:tcPr>
            <w:tcW w:w="1628" w:type="dxa"/>
            <w:noWrap/>
            <w:hideMark/>
          </w:tcPr>
          <w:p w14:paraId="6B1E6A96" w14:textId="3914E4FD"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25</w:t>
            </w:r>
          </w:p>
        </w:tc>
        <w:tc>
          <w:tcPr>
            <w:tcW w:w="1572" w:type="dxa"/>
            <w:noWrap/>
            <w:hideMark/>
          </w:tcPr>
          <w:p w14:paraId="08EBE8D8" w14:textId="5F24F3F9"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$1,149,052 </w:t>
            </w:r>
          </w:p>
        </w:tc>
        <w:tc>
          <w:tcPr>
            <w:tcW w:w="1695" w:type="dxa"/>
            <w:noWrap/>
            <w:hideMark/>
          </w:tcPr>
          <w:p w14:paraId="5D504CC1" w14:textId="38952FA9"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$1,603,364 </w:t>
            </w:r>
          </w:p>
        </w:tc>
      </w:tr>
      <w:tr w:rsidR="00F22647" w:rsidRPr="007618E1" w14:paraId="77C90FC9" w14:textId="77777777" w:rsidTr="2C3E9210">
        <w:trPr>
          <w:trHeight w:val="290"/>
        </w:trPr>
        <w:tc>
          <w:tcPr>
            <w:tcW w:w="2462" w:type="dxa"/>
            <w:noWrap/>
            <w:hideMark/>
          </w:tcPr>
          <w:p w14:paraId="7178091F" w14:textId="41B3EF48"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D-Bar-T LLC</w:t>
            </w:r>
          </w:p>
        </w:tc>
        <w:tc>
          <w:tcPr>
            <w:tcW w:w="1628" w:type="dxa"/>
            <w:noWrap/>
            <w:hideMark/>
          </w:tcPr>
          <w:p w14:paraId="2502E9B7" w14:textId="36164AE4"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20</w:t>
            </w:r>
          </w:p>
        </w:tc>
        <w:tc>
          <w:tcPr>
            <w:tcW w:w="1572" w:type="dxa"/>
            <w:noWrap/>
            <w:hideMark/>
          </w:tcPr>
          <w:p w14:paraId="7BCCEA44" w14:textId="19313192"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$1,312,203</w:t>
            </w:r>
          </w:p>
        </w:tc>
        <w:tc>
          <w:tcPr>
            <w:tcW w:w="1695" w:type="dxa"/>
            <w:noWrap/>
            <w:hideMark/>
          </w:tcPr>
          <w:p w14:paraId="7F443C45" w14:textId="4171CB3F"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$1,327,578 </w:t>
            </w:r>
          </w:p>
        </w:tc>
      </w:tr>
      <w:tr w:rsidR="00F22647" w:rsidRPr="007618E1" w14:paraId="66B5E5AB" w14:textId="77777777" w:rsidTr="2C3E9210">
        <w:trPr>
          <w:trHeight w:val="290"/>
        </w:trPr>
        <w:tc>
          <w:tcPr>
            <w:tcW w:w="2462" w:type="dxa"/>
            <w:noWrap/>
            <w:hideMark/>
          </w:tcPr>
          <w:p w14:paraId="776F816F" w14:textId="18C8D506"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Hezinger Construction</w:t>
            </w:r>
          </w:p>
        </w:tc>
        <w:tc>
          <w:tcPr>
            <w:tcW w:w="1628" w:type="dxa"/>
            <w:noWrap/>
            <w:hideMark/>
          </w:tcPr>
          <w:p w14:paraId="0BC5836D" w14:textId="1CED2BFA"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6</w:t>
            </w:r>
          </w:p>
        </w:tc>
        <w:tc>
          <w:tcPr>
            <w:tcW w:w="1572" w:type="dxa"/>
            <w:noWrap/>
            <w:hideMark/>
          </w:tcPr>
          <w:p w14:paraId="334FA911" w14:textId="554C1A35"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$493,000 </w:t>
            </w:r>
          </w:p>
        </w:tc>
        <w:tc>
          <w:tcPr>
            <w:tcW w:w="1695" w:type="dxa"/>
            <w:noWrap/>
            <w:hideMark/>
          </w:tcPr>
          <w:p w14:paraId="1215BB0F" w14:textId="17B23C60"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$1,092,233 </w:t>
            </w:r>
          </w:p>
        </w:tc>
      </w:tr>
      <w:tr w:rsidR="00F22647" w:rsidRPr="007618E1" w14:paraId="5400847F" w14:textId="77777777" w:rsidTr="2C3E9210">
        <w:trPr>
          <w:trHeight w:val="290"/>
        </w:trPr>
        <w:tc>
          <w:tcPr>
            <w:tcW w:w="2462" w:type="dxa"/>
            <w:noWrap/>
            <w:hideMark/>
          </w:tcPr>
          <w:p w14:paraId="6B38CC4D" w14:textId="6DAEF129"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Direct Traffic Control</w:t>
            </w:r>
          </w:p>
        </w:tc>
        <w:tc>
          <w:tcPr>
            <w:tcW w:w="1628" w:type="dxa"/>
            <w:noWrap/>
            <w:hideMark/>
          </w:tcPr>
          <w:p w14:paraId="7D02977C" w14:textId="59BAA9A5"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3</w:t>
            </w:r>
          </w:p>
        </w:tc>
        <w:tc>
          <w:tcPr>
            <w:tcW w:w="1572" w:type="dxa"/>
            <w:noWrap/>
            <w:hideMark/>
          </w:tcPr>
          <w:p w14:paraId="677A7771" w14:textId="654D1E72"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$823,179 </w:t>
            </w:r>
          </w:p>
        </w:tc>
        <w:tc>
          <w:tcPr>
            <w:tcW w:w="1695" w:type="dxa"/>
            <w:noWrap/>
            <w:hideMark/>
          </w:tcPr>
          <w:p w14:paraId="60450C94" w14:textId="4589BD9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$840,820 </w:t>
            </w:r>
          </w:p>
        </w:tc>
      </w:tr>
      <w:tr w:rsidR="00F22647" w:rsidRPr="007618E1" w14:paraId="2094BB6E" w14:textId="77777777" w:rsidTr="2C3E9210">
        <w:trPr>
          <w:trHeight w:val="290"/>
        </w:trPr>
        <w:tc>
          <w:tcPr>
            <w:tcW w:w="2462" w:type="dxa"/>
            <w:noWrap/>
            <w:hideMark/>
          </w:tcPr>
          <w:p w14:paraId="32E7EA35" w14:textId="0722FD5C"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Bizray Supply</w:t>
            </w:r>
          </w:p>
        </w:tc>
        <w:tc>
          <w:tcPr>
            <w:tcW w:w="1628" w:type="dxa"/>
            <w:noWrap/>
            <w:hideMark/>
          </w:tcPr>
          <w:p w14:paraId="0610C694" w14:textId="12729182"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10</w:t>
            </w:r>
          </w:p>
        </w:tc>
        <w:tc>
          <w:tcPr>
            <w:tcW w:w="1572" w:type="dxa"/>
            <w:noWrap/>
            <w:hideMark/>
          </w:tcPr>
          <w:p w14:paraId="4C9ECEA4" w14:textId="7E8A849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$804,841 </w:t>
            </w:r>
          </w:p>
        </w:tc>
        <w:tc>
          <w:tcPr>
            <w:tcW w:w="1695" w:type="dxa"/>
            <w:noWrap/>
            <w:hideMark/>
          </w:tcPr>
          <w:p w14:paraId="036A503C" w14:textId="5C0227D9"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$803,337 </w:t>
            </w:r>
          </w:p>
        </w:tc>
      </w:tr>
      <w:tr w:rsidR="00F22647" w:rsidRPr="007618E1" w14:paraId="596DE81B" w14:textId="77777777" w:rsidTr="2C3E9210">
        <w:trPr>
          <w:trHeight w:val="290"/>
        </w:trPr>
        <w:tc>
          <w:tcPr>
            <w:tcW w:w="2462" w:type="dxa"/>
            <w:noWrap/>
            <w:hideMark/>
          </w:tcPr>
          <w:p w14:paraId="04E73631" w14:textId="27615702"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Ground Level</w:t>
            </w:r>
          </w:p>
        </w:tc>
        <w:tc>
          <w:tcPr>
            <w:tcW w:w="1628" w:type="dxa"/>
            <w:noWrap/>
            <w:hideMark/>
          </w:tcPr>
          <w:p w14:paraId="3516B75D" w14:textId="102DB7C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3</w:t>
            </w:r>
          </w:p>
        </w:tc>
        <w:tc>
          <w:tcPr>
            <w:tcW w:w="1572" w:type="dxa"/>
            <w:noWrap/>
            <w:hideMark/>
          </w:tcPr>
          <w:p w14:paraId="43854227" w14:textId="4987D2A4"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$315,000 </w:t>
            </w:r>
          </w:p>
        </w:tc>
        <w:tc>
          <w:tcPr>
            <w:tcW w:w="1695" w:type="dxa"/>
            <w:noWrap/>
            <w:hideMark/>
          </w:tcPr>
          <w:p w14:paraId="6A47A410" w14:textId="3332D0D5"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$576,403 </w:t>
            </w:r>
          </w:p>
        </w:tc>
      </w:tr>
      <w:tr w:rsidR="00F22647" w:rsidRPr="007618E1" w14:paraId="4706E411" w14:textId="77777777" w:rsidTr="2C3E9210">
        <w:trPr>
          <w:trHeight w:val="290"/>
        </w:trPr>
        <w:tc>
          <w:tcPr>
            <w:tcW w:w="2462" w:type="dxa"/>
            <w:noWrap/>
            <w:hideMark/>
          </w:tcPr>
          <w:p w14:paraId="686E3C08" w14:textId="04122DC8"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JR &amp; B Construction</w:t>
            </w:r>
          </w:p>
        </w:tc>
        <w:tc>
          <w:tcPr>
            <w:tcW w:w="1628" w:type="dxa"/>
            <w:noWrap/>
            <w:hideMark/>
          </w:tcPr>
          <w:p w14:paraId="6801F225" w14:textId="7EFD8201"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7</w:t>
            </w:r>
          </w:p>
        </w:tc>
        <w:tc>
          <w:tcPr>
            <w:tcW w:w="1572" w:type="dxa"/>
            <w:noWrap/>
            <w:hideMark/>
          </w:tcPr>
          <w:p w14:paraId="2DB35D38" w14:textId="3D5BFA64"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$385,376 </w:t>
            </w:r>
          </w:p>
        </w:tc>
        <w:tc>
          <w:tcPr>
            <w:tcW w:w="1695" w:type="dxa"/>
            <w:noWrap/>
            <w:hideMark/>
          </w:tcPr>
          <w:p w14:paraId="550BF6C6" w14:textId="2F6CFA6D"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$524,840 </w:t>
            </w:r>
          </w:p>
        </w:tc>
      </w:tr>
      <w:tr w:rsidR="00F22647" w:rsidRPr="007618E1" w14:paraId="12C6F3E7" w14:textId="77777777" w:rsidTr="2C3E9210">
        <w:trPr>
          <w:trHeight w:val="290"/>
        </w:trPr>
        <w:tc>
          <w:tcPr>
            <w:tcW w:w="2462" w:type="dxa"/>
            <w:noWrap/>
            <w:hideMark/>
          </w:tcPr>
          <w:p w14:paraId="6E684DB8" w14:textId="7E4774B6"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D&amp;H Trucking</w:t>
            </w:r>
          </w:p>
        </w:tc>
        <w:tc>
          <w:tcPr>
            <w:tcW w:w="1628" w:type="dxa"/>
            <w:noWrap/>
            <w:hideMark/>
          </w:tcPr>
          <w:p w14:paraId="327A7B1D" w14:textId="6801BBD6"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7</w:t>
            </w:r>
          </w:p>
        </w:tc>
        <w:tc>
          <w:tcPr>
            <w:tcW w:w="1572" w:type="dxa"/>
            <w:noWrap/>
            <w:hideMark/>
          </w:tcPr>
          <w:p w14:paraId="1FD1D756" w14:textId="1D259C42"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$461,920 </w:t>
            </w:r>
          </w:p>
        </w:tc>
        <w:tc>
          <w:tcPr>
            <w:tcW w:w="1695" w:type="dxa"/>
            <w:noWrap/>
            <w:hideMark/>
          </w:tcPr>
          <w:p w14:paraId="503EC2E0" w14:textId="580EA3B3"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$396,283 </w:t>
            </w:r>
          </w:p>
        </w:tc>
      </w:tr>
      <w:tr w:rsidR="00F22647" w:rsidRPr="007618E1" w14:paraId="6EC91058" w14:textId="77777777" w:rsidTr="2C3E9210">
        <w:trPr>
          <w:trHeight w:val="290"/>
        </w:trPr>
        <w:tc>
          <w:tcPr>
            <w:tcW w:w="2462" w:type="dxa"/>
            <w:noWrap/>
            <w:hideMark/>
          </w:tcPr>
          <w:p w14:paraId="7587A74D" w14:textId="6B6A6804"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Stephenson Plumbing</w:t>
            </w:r>
          </w:p>
        </w:tc>
        <w:tc>
          <w:tcPr>
            <w:tcW w:w="1628" w:type="dxa"/>
            <w:noWrap/>
            <w:hideMark/>
          </w:tcPr>
          <w:p w14:paraId="702A32A0" w14:textId="6EBBF766"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4</w:t>
            </w:r>
          </w:p>
        </w:tc>
        <w:tc>
          <w:tcPr>
            <w:tcW w:w="1572" w:type="dxa"/>
            <w:noWrap/>
            <w:hideMark/>
          </w:tcPr>
          <w:p w14:paraId="1DE5157E" w14:textId="22BC5C6C"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$132,711 </w:t>
            </w:r>
          </w:p>
        </w:tc>
        <w:tc>
          <w:tcPr>
            <w:tcW w:w="1695" w:type="dxa"/>
            <w:noWrap/>
            <w:hideMark/>
          </w:tcPr>
          <w:p w14:paraId="787655DE" w14:textId="399D7B4C"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$359,263 </w:t>
            </w:r>
          </w:p>
        </w:tc>
      </w:tr>
      <w:tr w:rsidR="00F22647" w:rsidRPr="007618E1" w14:paraId="123365E2" w14:textId="77777777" w:rsidTr="2C3E9210">
        <w:trPr>
          <w:trHeight w:val="290"/>
        </w:trPr>
        <w:tc>
          <w:tcPr>
            <w:tcW w:w="2462" w:type="dxa"/>
            <w:noWrap/>
            <w:hideMark/>
          </w:tcPr>
          <w:p w14:paraId="3284F2FC" w14:textId="4F49C226"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Concrete Services Corp</w:t>
            </w:r>
          </w:p>
        </w:tc>
        <w:tc>
          <w:tcPr>
            <w:tcW w:w="1628" w:type="dxa"/>
            <w:noWrap/>
            <w:hideMark/>
          </w:tcPr>
          <w:p w14:paraId="316A807E" w14:textId="278FDB1F"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3</w:t>
            </w:r>
          </w:p>
        </w:tc>
        <w:tc>
          <w:tcPr>
            <w:tcW w:w="1572" w:type="dxa"/>
            <w:noWrap/>
            <w:hideMark/>
          </w:tcPr>
          <w:p w14:paraId="5DD03E88" w14:textId="2E1C645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$354,286 </w:t>
            </w:r>
          </w:p>
        </w:tc>
        <w:tc>
          <w:tcPr>
            <w:tcW w:w="1695" w:type="dxa"/>
            <w:noWrap/>
            <w:hideMark/>
          </w:tcPr>
          <w:p w14:paraId="18FBE2AA" w14:textId="10840B88"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$348,730 </w:t>
            </w:r>
          </w:p>
        </w:tc>
      </w:tr>
      <w:tr w:rsidR="00F22647" w:rsidRPr="007618E1" w14:paraId="3150BC28" w14:textId="77777777" w:rsidTr="2C3E9210">
        <w:trPr>
          <w:trHeight w:val="290"/>
        </w:trPr>
        <w:tc>
          <w:tcPr>
            <w:tcW w:w="2462" w:type="dxa"/>
            <w:noWrap/>
            <w:hideMark/>
          </w:tcPr>
          <w:p w14:paraId="58D84593" w14:textId="06FC8207"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Tulsa Sod &amp; Mulch</w:t>
            </w:r>
          </w:p>
        </w:tc>
        <w:tc>
          <w:tcPr>
            <w:tcW w:w="1628" w:type="dxa"/>
            <w:noWrap/>
            <w:hideMark/>
          </w:tcPr>
          <w:p w14:paraId="7BF1F443" w14:textId="61B3ED5F"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24</w:t>
            </w:r>
          </w:p>
        </w:tc>
        <w:tc>
          <w:tcPr>
            <w:tcW w:w="1572" w:type="dxa"/>
            <w:noWrap/>
            <w:hideMark/>
          </w:tcPr>
          <w:p w14:paraId="0C34A2B5" w14:textId="5C02985F"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$291,663 </w:t>
            </w:r>
          </w:p>
        </w:tc>
        <w:tc>
          <w:tcPr>
            <w:tcW w:w="1695" w:type="dxa"/>
            <w:noWrap/>
            <w:hideMark/>
          </w:tcPr>
          <w:p w14:paraId="5A52B0AD" w14:textId="0917C8A3"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$344,441 </w:t>
            </w:r>
          </w:p>
        </w:tc>
      </w:tr>
      <w:tr w:rsidR="00F22647" w:rsidRPr="007618E1" w14:paraId="4DBF3653" w14:textId="77777777" w:rsidTr="2C3E9210">
        <w:trPr>
          <w:trHeight w:val="290"/>
        </w:trPr>
        <w:tc>
          <w:tcPr>
            <w:tcW w:w="2462" w:type="dxa"/>
            <w:noWrap/>
            <w:hideMark/>
          </w:tcPr>
          <w:p w14:paraId="014F262C" w14:textId="67C8BCAA"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White Construction</w:t>
            </w:r>
          </w:p>
        </w:tc>
        <w:tc>
          <w:tcPr>
            <w:tcW w:w="1628" w:type="dxa"/>
            <w:noWrap/>
            <w:hideMark/>
          </w:tcPr>
          <w:p w14:paraId="54781F14" w14:textId="1F9AD649"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6</w:t>
            </w:r>
          </w:p>
        </w:tc>
        <w:tc>
          <w:tcPr>
            <w:tcW w:w="1572" w:type="dxa"/>
            <w:noWrap/>
            <w:hideMark/>
          </w:tcPr>
          <w:p w14:paraId="1F4D2BD8" w14:textId="42376687"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$141,010 </w:t>
            </w:r>
          </w:p>
        </w:tc>
        <w:tc>
          <w:tcPr>
            <w:tcW w:w="1695" w:type="dxa"/>
            <w:noWrap/>
            <w:hideMark/>
          </w:tcPr>
          <w:p w14:paraId="6E97B9C9" w14:textId="5F64EDD6"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$293,426 </w:t>
            </w:r>
          </w:p>
        </w:tc>
      </w:tr>
      <w:tr w:rsidR="00F22647" w:rsidRPr="007618E1" w14:paraId="39B2821B" w14:textId="77777777" w:rsidTr="2C3E9210">
        <w:trPr>
          <w:trHeight w:val="290"/>
        </w:trPr>
        <w:tc>
          <w:tcPr>
            <w:tcW w:w="2462" w:type="dxa"/>
            <w:noWrap/>
            <w:hideMark/>
          </w:tcPr>
          <w:p w14:paraId="3B93F3FB" w14:textId="661125CF"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Fenix Group</w:t>
            </w:r>
          </w:p>
        </w:tc>
        <w:tc>
          <w:tcPr>
            <w:tcW w:w="1628" w:type="dxa"/>
            <w:noWrap/>
            <w:hideMark/>
          </w:tcPr>
          <w:p w14:paraId="3603B841" w14:textId="687FAC05"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4</w:t>
            </w:r>
          </w:p>
        </w:tc>
        <w:tc>
          <w:tcPr>
            <w:tcW w:w="1572" w:type="dxa"/>
            <w:noWrap/>
            <w:hideMark/>
          </w:tcPr>
          <w:p w14:paraId="47C067CF" w14:textId="1A39AF56"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$192,742 </w:t>
            </w:r>
          </w:p>
        </w:tc>
        <w:tc>
          <w:tcPr>
            <w:tcW w:w="1695" w:type="dxa"/>
            <w:noWrap/>
            <w:hideMark/>
          </w:tcPr>
          <w:p w14:paraId="3B5B5401" w14:textId="02E113B8"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$286,478 </w:t>
            </w:r>
          </w:p>
        </w:tc>
      </w:tr>
      <w:tr w:rsidR="00F22647" w:rsidRPr="007618E1" w14:paraId="2F118D4C" w14:textId="77777777" w:rsidTr="2C3E9210">
        <w:trPr>
          <w:trHeight w:val="290"/>
        </w:trPr>
        <w:tc>
          <w:tcPr>
            <w:tcW w:w="2462" w:type="dxa"/>
            <w:noWrap/>
          </w:tcPr>
          <w:p w14:paraId="26A72496" w14:textId="726C266F" w:rsidR="00F22647" w:rsidRPr="00F22647" w:rsidRDefault="00F22647" w:rsidP="00F22647">
            <w:pPr>
              <w:spacing w:line="240" w:lineRule="auto"/>
              <w:rPr>
                <w:sz w:val="20"/>
                <w:szCs w:val="20"/>
              </w:rPr>
            </w:pPr>
            <w:r w:rsidRPr="00F22647">
              <w:rPr>
                <w:sz w:val="20"/>
                <w:szCs w:val="20"/>
              </w:rPr>
              <w:t>Best Dump Trucking</w:t>
            </w:r>
          </w:p>
        </w:tc>
        <w:tc>
          <w:tcPr>
            <w:tcW w:w="1628" w:type="dxa"/>
            <w:noWrap/>
          </w:tcPr>
          <w:p w14:paraId="753344F6" w14:textId="3A0B673C" w:rsidR="00F22647" w:rsidRPr="00F22647" w:rsidRDefault="00F22647" w:rsidP="00F22647">
            <w:pPr>
              <w:spacing w:line="240" w:lineRule="auto"/>
              <w:jc w:val="right"/>
              <w:rPr>
                <w:sz w:val="20"/>
                <w:szCs w:val="20"/>
              </w:rPr>
            </w:pPr>
            <w:r w:rsidRPr="00F22647">
              <w:rPr>
                <w:sz w:val="20"/>
                <w:szCs w:val="20"/>
              </w:rPr>
              <w:t>9</w:t>
            </w:r>
          </w:p>
        </w:tc>
        <w:tc>
          <w:tcPr>
            <w:tcW w:w="1572" w:type="dxa"/>
            <w:noWrap/>
          </w:tcPr>
          <w:p w14:paraId="4AE99398" w14:textId="62844CD3" w:rsidR="00F22647" w:rsidRPr="00F22647" w:rsidRDefault="00F22647" w:rsidP="00F22647">
            <w:pPr>
              <w:spacing w:line="240" w:lineRule="auto"/>
              <w:jc w:val="right"/>
              <w:rPr>
                <w:sz w:val="20"/>
                <w:szCs w:val="20"/>
              </w:rPr>
            </w:pPr>
            <w:r w:rsidRPr="00F22647">
              <w:rPr>
                <w:sz w:val="20"/>
                <w:szCs w:val="20"/>
              </w:rPr>
              <w:t xml:space="preserve"> $317,313 </w:t>
            </w:r>
          </w:p>
        </w:tc>
        <w:tc>
          <w:tcPr>
            <w:tcW w:w="1695" w:type="dxa"/>
            <w:noWrap/>
          </w:tcPr>
          <w:p w14:paraId="7DCFFC5E" w14:textId="0884274D" w:rsidR="00F22647" w:rsidRPr="00F22647" w:rsidRDefault="00F22647" w:rsidP="00F22647">
            <w:pPr>
              <w:spacing w:line="240" w:lineRule="auto"/>
              <w:jc w:val="right"/>
              <w:rPr>
                <w:sz w:val="20"/>
                <w:szCs w:val="20"/>
              </w:rPr>
            </w:pPr>
            <w:r w:rsidRPr="00F22647">
              <w:rPr>
                <w:sz w:val="20"/>
                <w:szCs w:val="20"/>
              </w:rPr>
              <w:t xml:space="preserve"> $287,151 </w:t>
            </w:r>
          </w:p>
        </w:tc>
      </w:tr>
      <w:tr w:rsidR="00F22647" w:rsidRPr="007618E1" w14:paraId="04DF37D8" w14:textId="77777777" w:rsidTr="2C3E9210">
        <w:trPr>
          <w:trHeight w:val="290"/>
        </w:trPr>
        <w:tc>
          <w:tcPr>
            <w:tcW w:w="2462" w:type="dxa"/>
            <w:noWrap/>
            <w:hideMark/>
          </w:tcPr>
          <w:p w14:paraId="10361430" w14:textId="0F98208D" w:rsidR="00F22647" w:rsidRPr="00F22647" w:rsidRDefault="00F22647" w:rsidP="00F22647">
            <w:pPr>
              <w:spacing w:line="240" w:lineRule="auto"/>
              <w:rPr>
                <w:rFonts w:asciiTheme="majorHAnsi" w:eastAsia="Times New Roman" w:hAnsiTheme="majorHAnsi" w:cstheme="majorHAnsi"/>
                <w:color w:val="000000"/>
                <w:sz w:val="20"/>
                <w:szCs w:val="20"/>
              </w:rPr>
            </w:pPr>
            <w:r w:rsidRPr="00F22647">
              <w:rPr>
                <w:sz w:val="20"/>
                <w:szCs w:val="20"/>
              </w:rPr>
              <w:t>Woodchuck Outdoors</w:t>
            </w:r>
          </w:p>
        </w:tc>
        <w:tc>
          <w:tcPr>
            <w:tcW w:w="1628" w:type="dxa"/>
            <w:noWrap/>
            <w:hideMark/>
          </w:tcPr>
          <w:p w14:paraId="05B128C4" w14:textId="6A3CE5B9"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2</w:t>
            </w:r>
          </w:p>
        </w:tc>
        <w:tc>
          <w:tcPr>
            <w:tcW w:w="1572" w:type="dxa"/>
            <w:noWrap/>
            <w:hideMark/>
          </w:tcPr>
          <w:p w14:paraId="7875AAEF" w14:textId="3B788FC3"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$374,369 </w:t>
            </w:r>
          </w:p>
        </w:tc>
        <w:tc>
          <w:tcPr>
            <w:tcW w:w="1695" w:type="dxa"/>
            <w:noWrap/>
            <w:hideMark/>
          </w:tcPr>
          <w:p w14:paraId="552B9AD1" w14:textId="19967592" w:rsidR="00F22647" w:rsidRPr="00F22647" w:rsidRDefault="00F22647" w:rsidP="00F22647">
            <w:pPr>
              <w:spacing w:line="240" w:lineRule="auto"/>
              <w:jc w:val="right"/>
              <w:rPr>
                <w:rFonts w:asciiTheme="majorHAnsi" w:eastAsia="Times New Roman" w:hAnsiTheme="majorHAnsi" w:cstheme="majorHAnsi"/>
                <w:color w:val="000000"/>
                <w:sz w:val="20"/>
                <w:szCs w:val="20"/>
              </w:rPr>
            </w:pPr>
            <w:r w:rsidRPr="00F22647">
              <w:rPr>
                <w:sz w:val="20"/>
                <w:szCs w:val="20"/>
              </w:rPr>
              <w:t xml:space="preserve"> $279,280 </w:t>
            </w:r>
          </w:p>
        </w:tc>
      </w:tr>
      <w:tr w:rsidR="007618E1" w:rsidRPr="007618E1" w14:paraId="7D44A75F" w14:textId="77777777" w:rsidTr="2C3E9210">
        <w:trPr>
          <w:trHeight w:val="290"/>
        </w:trPr>
        <w:tc>
          <w:tcPr>
            <w:tcW w:w="2462" w:type="dxa"/>
            <w:noWrap/>
            <w:hideMark/>
          </w:tcPr>
          <w:p w14:paraId="33E22D3E" w14:textId="1D50E54D"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M &amp; M Electric</w:t>
            </w:r>
          </w:p>
        </w:tc>
        <w:tc>
          <w:tcPr>
            <w:tcW w:w="1628" w:type="dxa"/>
            <w:noWrap/>
            <w:hideMark/>
          </w:tcPr>
          <w:p w14:paraId="06EE6BFC" w14:textId="242D47D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3</w:t>
            </w:r>
          </w:p>
        </w:tc>
        <w:tc>
          <w:tcPr>
            <w:tcW w:w="1572" w:type="dxa"/>
            <w:noWrap/>
            <w:hideMark/>
          </w:tcPr>
          <w:p w14:paraId="03B14877" w14:textId="027C94F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$142,160 </w:t>
            </w:r>
          </w:p>
        </w:tc>
        <w:tc>
          <w:tcPr>
            <w:tcW w:w="1695" w:type="dxa"/>
            <w:noWrap/>
            <w:hideMark/>
          </w:tcPr>
          <w:p w14:paraId="4335AD42" w14:textId="297E866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$145,535 </w:t>
            </w:r>
          </w:p>
        </w:tc>
      </w:tr>
      <w:tr w:rsidR="007618E1" w:rsidRPr="007618E1" w14:paraId="4B3F2305" w14:textId="77777777" w:rsidTr="2C3E9210">
        <w:trPr>
          <w:trHeight w:val="290"/>
        </w:trPr>
        <w:tc>
          <w:tcPr>
            <w:tcW w:w="2462" w:type="dxa"/>
            <w:noWrap/>
            <w:hideMark/>
          </w:tcPr>
          <w:p w14:paraId="4DD5E504" w14:textId="1271A1A7"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Creek Construction</w:t>
            </w:r>
          </w:p>
        </w:tc>
        <w:tc>
          <w:tcPr>
            <w:tcW w:w="1628" w:type="dxa"/>
            <w:noWrap/>
            <w:hideMark/>
          </w:tcPr>
          <w:p w14:paraId="21BFADE3" w14:textId="10350F9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4</w:t>
            </w:r>
          </w:p>
        </w:tc>
        <w:tc>
          <w:tcPr>
            <w:tcW w:w="1572" w:type="dxa"/>
            <w:noWrap/>
            <w:hideMark/>
          </w:tcPr>
          <w:p w14:paraId="517E925D" w14:textId="400DE4B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$110,925 </w:t>
            </w:r>
          </w:p>
        </w:tc>
        <w:tc>
          <w:tcPr>
            <w:tcW w:w="1695" w:type="dxa"/>
            <w:noWrap/>
            <w:hideMark/>
          </w:tcPr>
          <w:p w14:paraId="7FC1DCC3" w14:textId="0D686E16"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$137,785 </w:t>
            </w:r>
          </w:p>
        </w:tc>
      </w:tr>
      <w:tr w:rsidR="007618E1" w:rsidRPr="007618E1" w14:paraId="3BB645B7" w14:textId="77777777" w:rsidTr="2C3E9210">
        <w:trPr>
          <w:trHeight w:val="290"/>
        </w:trPr>
        <w:tc>
          <w:tcPr>
            <w:tcW w:w="2462" w:type="dxa"/>
            <w:noWrap/>
            <w:hideMark/>
          </w:tcPr>
          <w:p w14:paraId="502F4C29" w14:textId="0452B35F"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Triangle Construction</w:t>
            </w:r>
          </w:p>
        </w:tc>
        <w:tc>
          <w:tcPr>
            <w:tcW w:w="1628" w:type="dxa"/>
            <w:noWrap/>
            <w:hideMark/>
          </w:tcPr>
          <w:p w14:paraId="41899676" w14:textId="7185B0DC"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565E1757" w14:textId="6E9F11D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$232,809 </w:t>
            </w:r>
          </w:p>
        </w:tc>
        <w:tc>
          <w:tcPr>
            <w:tcW w:w="1695" w:type="dxa"/>
            <w:noWrap/>
            <w:hideMark/>
          </w:tcPr>
          <w:p w14:paraId="72B242B6" w14:textId="41FB6884"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$127,000 </w:t>
            </w:r>
          </w:p>
        </w:tc>
      </w:tr>
      <w:tr w:rsidR="007618E1" w:rsidRPr="007618E1" w14:paraId="6971618D" w14:textId="77777777" w:rsidTr="2C3E9210">
        <w:trPr>
          <w:trHeight w:val="290"/>
        </w:trPr>
        <w:tc>
          <w:tcPr>
            <w:tcW w:w="2462" w:type="dxa"/>
            <w:noWrap/>
            <w:hideMark/>
          </w:tcPr>
          <w:p w14:paraId="5A9D5239" w14:textId="4DB41DF7"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Cross Bo Construction</w:t>
            </w:r>
          </w:p>
        </w:tc>
        <w:tc>
          <w:tcPr>
            <w:tcW w:w="1628" w:type="dxa"/>
            <w:noWrap/>
            <w:hideMark/>
          </w:tcPr>
          <w:p w14:paraId="60683F41" w14:textId="01212961"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1A4F85B2" w14:textId="75544ED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$128,310 </w:t>
            </w:r>
          </w:p>
        </w:tc>
        <w:tc>
          <w:tcPr>
            <w:tcW w:w="1695" w:type="dxa"/>
            <w:noWrap/>
            <w:hideMark/>
          </w:tcPr>
          <w:p w14:paraId="77C8B269" w14:textId="629A2B77"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$107,900 </w:t>
            </w:r>
          </w:p>
        </w:tc>
      </w:tr>
      <w:tr w:rsidR="007618E1" w:rsidRPr="007618E1" w14:paraId="590F2EC1" w14:textId="77777777" w:rsidTr="2C3E9210">
        <w:trPr>
          <w:trHeight w:val="290"/>
        </w:trPr>
        <w:tc>
          <w:tcPr>
            <w:tcW w:w="2462" w:type="dxa"/>
            <w:noWrap/>
            <w:hideMark/>
          </w:tcPr>
          <w:p w14:paraId="3DB83E5B" w14:textId="57865CDA" w:rsidR="007618E1" w:rsidRPr="00F22647" w:rsidRDefault="007618E1" w:rsidP="007618E1">
            <w:pPr>
              <w:spacing w:line="240" w:lineRule="auto"/>
              <w:rPr>
                <w:rFonts w:asciiTheme="majorHAnsi" w:eastAsia="Times New Roman" w:hAnsiTheme="majorHAnsi" w:cstheme="majorHAnsi"/>
                <w:color w:val="000000"/>
                <w:sz w:val="20"/>
                <w:szCs w:val="20"/>
              </w:rPr>
            </w:pPr>
            <w:proofErr w:type="spellStart"/>
            <w:r w:rsidRPr="00F22647">
              <w:rPr>
                <w:rFonts w:asciiTheme="majorHAnsi" w:hAnsiTheme="majorHAnsi" w:cstheme="majorHAnsi"/>
                <w:sz w:val="20"/>
                <w:szCs w:val="20"/>
              </w:rPr>
              <w:t>Southstone</w:t>
            </w:r>
            <w:proofErr w:type="spellEnd"/>
            <w:r w:rsidRPr="00F22647">
              <w:rPr>
                <w:rFonts w:asciiTheme="majorHAnsi" w:hAnsiTheme="majorHAnsi" w:cstheme="majorHAnsi"/>
                <w:sz w:val="20"/>
                <w:szCs w:val="20"/>
              </w:rPr>
              <w:t xml:space="preserve"> Construction</w:t>
            </w:r>
          </w:p>
        </w:tc>
        <w:tc>
          <w:tcPr>
            <w:tcW w:w="1628" w:type="dxa"/>
            <w:noWrap/>
            <w:hideMark/>
          </w:tcPr>
          <w:p w14:paraId="603D049F" w14:textId="4E37EFF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1FE72041" w14:textId="7F3CC76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   </w:t>
            </w:r>
          </w:p>
        </w:tc>
        <w:tc>
          <w:tcPr>
            <w:tcW w:w="1695" w:type="dxa"/>
            <w:noWrap/>
            <w:hideMark/>
          </w:tcPr>
          <w:p w14:paraId="00CD24F3" w14:textId="0F9E786E"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$100,507 </w:t>
            </w:r>
          </w:p>
        </w:tc>
      </w:tr>
      <w:tr w:rsidR="007618E1" w:rsidRPr="007618E1" w14:paraId="73C63B71" w14:textId="77777777" w:rsidTr="2C3E9210">
        <w:trPr>
          <w:trHeight w:val="290"/>
        </w:trPr>
        <w:tc>
          <w:tcPr>
            <w:tcW w:w="2462" w:type="dxa"/>
            <w:noWrap/>
            <w:hideMark/>
          </w:tcPr>
          <w:p w14:paraId="36818FF6" w14:textId="15457363"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Fritz Land Surveying</w:t>
            </w:r>
          </w:p>
        </w:tc>
        <w:tc>
          <w:tcPr>
            <w:tcW w:w="1628" w:type="dxa"/>
            <w:noWrap/>
            <w:hideMark/>
          </w:tcPr>
          <w:p w14:paraId="237C9A40" w14:textId="51362CF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7E364078" w14:textId="03D72BB1"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$54,500 </w:t>
            </w:r>
          </w:p>
        </w:tc>
        <w:tc>
          <w:tcPr>
            <w:tcW w:w="1695" w:type="dxa"/>
            <w:noWrap/>
            <w:hideMark/>
          </w:tcPr>
          <w:p w14:paraId="025436C8" w14:textId="3E64FDE8"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$55,543 </w:t>
            </w:r>
          </w:p>
        </w:tc>
      </w:tr>
      <w:tr w:rsidR="007618E1" w:rsidRPr="007618E1" w14:paraId="2FFA4D50" w14:textId="77777777" w:rsidTr="2C3E9210">
        <w:trPr>
          <w:trHeight w:val="290"/>
        </w:trPr>
        <w:tc>
          <w:tcPr>
            <w:tcW w:w="2462" w:type="dxa"/>
            <w:noWrap/>
            <w:hideMark/>
          </w:tcPr>
          <w:p w14:paraId="6FB5E4F1" w14:textId="1C41C5D5" w:rsidR="007618E1" w:rsidRPr="00F22647" w:rsidRDefault="007618E1" w:rsidP="007618E1">
            <w:pPr>
              <w:spacing w:line="240" w:lineRule="auto"/>
              <w:rPr>
                <w:rFonts w:asciiTheme="majorHAnsi" w:eastAsia="Times New Roman" w:hAnsiTheme="majorHAnsi" w:cstheme="majorHAnsi"/>
                <w:color w:val="000000"/>
                <w:sz w:val="20"/>
                <w:szCs w:val="20"/>
              </w:rPr>
            </w:pPr>
            <w:proofErr w:type="spellStart"/>
            <w:r w:rsidRPr="00F22647">
              <w:rPr>
                <w:rFonts w:asciiTheme="majorHAnsi" w:hAnsiTheme="majorHAnsi" w:cstheme="majorHAnsi"/>
                <w:sz w:val="20"/>
                <w:szCs w:val="20"/>
              </w:rPr>
              <w:lastRenderedPageBreak/>
              <w:t>Jimbo's</w:t>
            </w:r>
            <w:proofErr w:type="spellEnd"/>
            <w:r w:rsidRPr="00F22647">
              <w:rPr>
                <w:rFonts w:asciiTheme="majorHAnsi" w:hAnsiTheme="majorHAnsi" w:cstheme="majorHAnsi"/>
                <w:sz w:val="20"/>
                <w:szCs w:val="20"/>
              </w:rPr>
              <w:t xml:space="preserve"> Trucking</w:t>
            </w:r>
          </w:p>
        </w:tc>
        <w:tc>
          <w:tcPr>
            <w:tcW w:w="1628" w:type="dxa"/>
            <w:noWrap/>
            <w:hideMark/>
          </w:tcPr>
          <w:p w14:paraId="301CDA74" w14:textId="53E2EB1C"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5DF55301" w14:textId="30403451"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$43,000 </w:t>
            </w:r>
          </w:p>
        </w:tc>
        <w:tc>
          <w:tcPr>
            <w:tcW w:w="1695" w:type="dxa"/>
            <w:noWrap/>
            <w:hideMark/>
          </w:tcPr>
          <w:p w14:paraId="277E366A" w14:textId="3C0490B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$51,713 </w:t>
            </w:r>
          </w:p>
        </w:tc>
      </w:tr>
      <w:tr w:rsidR="007618E1" w:rsidRPr="007618E1" w14:paraId="6E777BAD" w14:textId="77777777" w:rsidTr="2C3E9210">
        <w:trPr>
          <w:trHeight w:val="290"/>
        </w:trPr>
        <w:tc>
          <w:tcPr>
            <w:tcW w:w="2462" w:type="dxa"/>
            <w:noWrap/>
            <w:hideMark/>
          </w:tcPr>
          <w:p w14:paraId="3074B082" w14:textId="51F7C6C2"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Tulsa Land Surveying</w:t>
            </w:r>
          </w:p>
        </w:tc>
        <w:tc>
          <w:tcPr>
            <w:tcW w:w="1628" w:type="dxa"/>
            <w:noWrap/>
            <w:hideMark/>
          </w:tcPr>
          <w:p w14:paraId="07A438C8" w14:textId="34B26B7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4</w:t>
            </w:r>
          </w:p>
        </w:tc>
        <w:tc>
          <w:tcPr>
            <w:tcW w:w="1572" w:type="dxa"/>
            <w:noWrap/>
            <w:hideMark/>
          </w:tcPr>
          <w:p w14:paraId="4223040F" w14:textId="1D31204A"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$67,450 </w:t>
            </w:r>
          </w:p>
        </w:tc>
        <w:tc>
          <w:tcPr>
            <w:tcW w:w="1695" w:type="dxa"/>
            <w:noWrap/>
            <w:hideMark/>
          </w:tcPr>
          <w:p w14:paraId="545F7E27" w14:textId="0F42AB2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$43,170 </w:t>
            </w:r>
          </w:p>
        </w:tc>
      </w:tr>
      <w:tr w:rsidR="007618E1" w:rsidRPr="007618E1" w14:paraId="3E9BEF50" w14:textId="77777777" w:rsidTr="2C3E9210">
        <w:trPr>
          <w:trHeight w:val="290"/>
        </w:trPr>
        <w:tc>
          <w:tcPr>
            <w:tcW w:w="2462" w:type="dxa"/>
            <w:noWrap/>
            <w:hideMark/>
          </w:tcPr>
          <w:p w14:paraId="78D0900F" w14:textId="1F9C292B"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Express Lawn Services</w:t>
            </w:r>
          </w:p>
        </w:tc>
        <w:tc>
          <w:tcPr>
            <w:tcW w:w="1628" w:type="dxa"/>
            <w:noWrap/>
            <w:hideMark/>
          </w:tcPr>
          <w:p w14:paraId="74338529" w14:textId="7EBB5C47"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77885D84" w14:textId="6A4DBAA0"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   </w:t>
            </w:r>
          </w:p>
        </w:tc>
        <w:tc>
          <w:tcPr>
            <w:tcW w:w="1695" w:type="dxa"/>
            <w:noWrap/>
            <w:hideMark/>
          </w:tcPr>
          <w:p w14:paraId="4578993F" w14:textId="0FA1F65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$36,229 </w:t>
            </w:r>
          </w:p>
        </w:tc>
      </w:tr>
      <w:tr w:rsidR="007618E1" w:rsidRPr="007618E1" w14:paraId="57BF72A1" w14:textId="77777777" w:rsidTr="2C3E9210">
        <w:trPr>
          <w:trHeight w:val="290"/>
        </w:trPr>
        <w:tc>
          <w:tcPr>
            <w:tcW w:w="2462" w:type="dxa"/>
            <w:noWrap/>
            <w:hideMark/>
          </w:tcPr>
          <w:p w14:paraId="7F389957" w14:textId="54550A91"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Verdigris Valley Sod</w:t>
            </w:r>
          </w:p>
        </w:tc>
        <w:tc>
          <w:tcPr>
            <w:tcW w:w="1628" w:type="dxa"/>
            <w:noWrap/>
            <w:hideMark/>
          </w:tcPr>
          <w:p w14:paraId="395F912C" w14:textId="0F3F2713"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4</w:t>
            </w:r>
          </w:p>
        </w:tc>
        <w:tc>
          <w:tcPr>
            <w:tcW w:w="1572" w:type="dxa"/>
            <w:noWrap/>
            <w:hideMark/>
          </w:tcPr>
          <w:p w14:paraId="2251147C" w14:textId="71488621"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$99,670 </w:t>
            </w:r>
          </w:p>
        </w:tc>
        <w:tc>
          <w:tcPr>
            <w:tcW w:w="1695" w:type="dxa"/>
            <w:noWrap/>
            <w:hideMark/>
          </w:tcPr>
          <w:p w14:paraId="1B8BA82C" w14:textId="10B7D14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$31,563 </w:t>
            </w:r>
          </w:p>
        </w:tc>
      </w:tr>
      <w:tr w:rsidR="007618E1" w:rsidRPr="007618E1" w14:paraId="71279A53" w14:textId="77777777" w:rsidTr="2C3E9210">
        <w:trPr>
          <w:trHeight w:val="290"/>
        </w:trPr>
        <w:tc>
          <w:tcPr>
            <w:tcW w:w="2462" w:type="dxa"/>
            <w:noWrap/>
            <w:hideMark/>
          </w:tcPr>
          <w:p w14:paraId="669D71BD" w14:textId="5FA34248"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Quad Cities Enterprises</w:t>
            </w:r>
          </w:p>
        </w:tc>
        <w:tc>
          <w:tcPr>
            <w:tcW w:w="1628" w:type="dxa"/>
            <w:noWrap/>
            <w:hideMark/>
          </w:tcPr>
          <w:p w14:paraId="4121450A" w14:textId="52C44738"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3</w:t>
            </w:r>
          </w:p>
        </w:tc>
        <w:tc>
          <w:tcPr>
            <w:tcW w:w="1572" w:type="dxa"/>
            <w:noWrap/>
            <w:hideMark/>
          </w:tcPr>
          <w:p w14:paraId="34626142" w14:textId="7A06F96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$21,834 </w:t>
            </w:r>
          </w:p>
        </w:tc>
        <w:tc>
          <w:tcPr>
            <w:tcW w:w="1695" w:type="dxa"/>
            <w:noWrap/>
            <w:hideMark/>
          </w:tcPr>
          <w:p w14:paraId="3D39E589" w14:textId="5AB9E0D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$30,234 </w:t>
            </w:r>
          </w:p>
        </w:tc>
      </w:tr>
      <w:tr w:rsidR="007618E1" w:rsidRPr="007618E1" w14:paraId="15227B12" w14:textId="77777777" w:rsidTr="2C3E9210">
        <w:trPr>
          <w:trHeight w:val="290"/>
        </w:trPr>
        <w:tc>
          <w:tcPr>
            <w:tcW w:w="2462" w:type="dxa"/>
            <w:noWrap/>
            <w:hideMark/>
          </w:tcPr>
          <w:p w14:paraId="17584F07" w14:textId="5968CE16"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CV3 Mechanical</w:t>
            </w:r>
          </w:p>
        </w:tc>
        <w:tc>
          <w:tcPr>
            <w:tcW w:w="1628" w:type="dxa"/>
            <w:noWrap/>
            <w:hideMark/>
          </w:tcPr>
          <w:p w14:paraId="31DC702C" w14:textId="1CBF56D8"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70C81D66" w14:textId="2BF0F004"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$26,600 </w:t>
            </w:r>
          </w:p>
        </w:tc>
        <w:tc>
          <w:tcPr>
            <w:tcW w:w="1695" w:type="dxa"/>
            <w:noWrap/>
            <w:hideMark/>
          </w:tcPr>
          <w:p w14:paraId="481CD4F4" w14:textId="5CFC61DA"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$28,539 </w:t>
            </w:r>
          </w:p>
        </w:tc>
      </w:tr>
      <w:tr w:rsidR="007618E1" w:rsidRPr="007618E1" w14:paraId="0D147929" w14:textId="77777777" w:rsidTr="2C3E9210">
        <w:trPr>
          <w:trHeight w:val="290"/>
        </w:trPr>
        <w:tc>
          <w:tcPr>
            <w:tcW w:w="2462" w:type="dxa"/>
            <w:noWrap/>
            <w:hideMark/>
          </w:tcPr>
          <w:p w14:paraId="66D820A0" w14:textId="72345844"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Nickle &amp; Associates, Inc</w:t>
            </w:r>
          </w:p>
        </w:tc>
        <w:tc>
          <w:tcPr>
            <w:tcW w:w="1628" w:type="dxa"/>
            <w:noWrap/>
            <w:hideMark/>
          </w:tcPr>
          <w:p w14:paraId="0C689815" w14:textId="58B3C1B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239F1E12" w14:textId="57323A0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$52,802 </w:t>
            </w:r>
          </w:p>
        </w:tc>
        <w:tc>
          <w:tcPr>
            <w:tcW w:w="1695" w:type="dxa"/>
            <w:noWrap/>
            <w:hideMark/>
          </w:tcPr>
          <w:p w14:paraId="2A51541C" w14:textId="7E6BFFFA"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$27,085 </w:t>
            </w:r>
          </w:p>
        </w:tc>
      </w:tr>
      <w:tr w:rsidR="007618E1" w:rsidRPr="007618E1" w14:paraId="765BC551" w14:textId="77777777" w:rsidTr="2C3E9210">
        <w:trPr>
          <w:trHeight w:val="290"/>
        </w:trPr>
        <w:tc>
          <w:tcPr>
            <w:tcW w:w="2462" w:type="dxa"/>
            <w:noWrap/>
            <w:hideMark/>
          </w:tcPr>
          <w:p w14:paraId="6578DC34" w14:textId="38B96E53"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Jus E </w:t>
            </w:r>
            <w:proofErr w:type="spellStart"/>
            <w:r w:rsidRPr="00F22647">
              <w:rPr>
                <w:rFonts w:asciiTheme="majorHAnsi" w:hAnsiTheme="majorHAnsi" w:cstheme="majorHAnsi"/>
                <w:sz w:val="20"/>
                <w:szCs w:val="20"/>
              </w:rPr>
              <w:t>Nuf</w:t>
            </w:r>
            <w:proofErr w:type="spellEnd"/>
          </w:p>
        </w:tc>
        <w:tc>
          <w:tcPr>
            <w:tcW w:w="1628" w:type="dxa"/>
            <w:noWrap/>
            <w:hideMark/>
          </w:tcPr>
          <w:p w14:paraId="68A4AD93" w14:textId="350030B7"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10A3D5D1" w14:textId="0258691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$29,900 </w:t>
            </w:r>
          </w:p>
        </w:tc>
        <w:tc>
          <w:tcPr>
            <w:tcW w:w="1695" w:type="dxa"/>
            <w:noWrap/>
            <w:hideMark/>
          </w:tcPr>
          <w:p w14:paraId="784E7E9A" w14:textId="6BE1F2A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$19,906 </w:t>
            </w:r>
          </w:p>
        </w:tc>
      </w:tr>
      <w:tr w:rsidR="007618E1" w:rsidRPr="007618E1" w14:paraId="3B4D51C4" w14:textId="77777777" w:rsidTr="2C3E9210">
        <w:trPr>
          <w:trHeight w:val="290"/>
        </w:trPr>
        <w:tc>
          <w:tcPr>
            <w:tcW w:w="2462" w:type="dxa"/>
            <w:noWrap/>
            <w:hideMark/>
          </w:tcPr>
          <w:p w14:paraId="39AD9981" w14:textId="4226CF9D"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Native Turf</w:t>
            </w:r>
          </w:p>
        </w:tc>
        <w:tc>
          <w:tcPr>
            <w:tcW w:w="1628" w:type="dxa"/>
            <w:noWrap/>
            <w:hideMark/>
          </w:tcPr>
          <w:p w14:paraId="53E6C50D" w14:textId="62F14C93"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7</w:t>
            </w:r>
          </w:p>
        </w:tc>
        <w:tc>
          <w:tcPr>
            <w:tcW w:w="1572" w:type="dxa"/>
            <w:noWrap/>
            <w:hideMark/>
          </w:tcPr>
          <w:p w14:paraId="57225FBC" w14:textId="309278D6"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$58,825 </w:t>
            </w:r>
          </w:p>
        </w:tc>
        <w:tc>
          <w:tcPr>
            <w:tcW w:w="1695" w:type="dxa"/>
            <w:noWrap/>
            <w:hideMark/>
          </w:tcPr>
          <w:p w14:paraId="5CBF8B3C" w14:textId="73C0935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$14,605 </w:t>
            </w:r>
          </w:p>
        </w:tc>
      </w:tr>
      <w:tr w:rsidR="007618E1" w:rsidRPr="007618E1" w14:paraId="7367E0FC" w14:textId="77777777" w:rsidTr="2C3E9210">
        <w:trPr>
          <w:trHeight w:val="290"/>
        </w:trPr>
        <w:tc>
          <w:tcPr>
            <w:tcW w:w="2462" w:type="dxa"/>
            <w:noWrap/>
            <w:hideMark/>
          </w:tcPr>
          <w:p w14:paraId="2046A54C" w14:textId="248AF443"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HRAOK</w:t>
            </w:r>
          </w:p>
        </w:tc>
        <w:tc>
          <w:tcPr>
            <w:tcW w:w="1628" w:type="dxa"/>
            <w:noWrap/>
            <w:hideMark/>
          </w:tcPr>
          <w:p w14:paraId="514006F6" w14:textId="25C30036"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w:t>
            </w:r>
          </w:p>
        </w:tc>
        <w:tc>
          <w:tcPr>
            <w:tcW w:w="1572" w:type="dxa"/>
            <w:noWrap/>
            <w:hideMark/>
          </w:tcPr>
          <w:p w14:paraId="2057E79B" w14:textId="28AF744C"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$13,814 </w:t>
            </w:r>
          </w:p>
        </w:tc>
        <w:tc>
          <w:tcPr>
            <w:tcW w:w="1695" w:type="dxa"/>
            <w:noWrap/>
            <w:hideMark/>
          </w:tcPr>
          <w:p w14:paraId="675CEFC9" w14:textId="0D52C4A6"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$13,814 </w:t>
            </w:r>
          </w:p>
        </w:tc>
      </w:tr>
      <w:tr w:rsidR="007618E1" w:rsidRPr="007618E1" w14:paraId="08A03D0F" w14:textId="77777777" w:rsidTr="2C3E9210">
        <w:trPr>
          <w:trHeight w:val="290"/>
        </w:trPr>
        <w:tc>
          <w:tcPr>
            <w:tcW w:w="2462" w:type="dxa"/>
            <w:noWrap/>
            <w:hideMark/>
          </w:tcPr>
          <w:p w14:paraId="732F241F" w14:textId="5A35FF9A"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Dynamite Cleaning</w:t>
            </w:r>
          </w:p>
        </w:tc>
        <w:tc>
          <w:tcPr>
            <w:tcW w:w="1628" w:type="dxa"/>
            <w:noWrap/>
            <w:hideMark/>
          </w:tcPr>
          <w:p w14:paraId="7289ADC6" w14:textId="3EB80492"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26DC7027" w14:textId="350DB172"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$11,907 </w:t>
            </w:r>
          </w:p>
        </w:tc>
        <w:tc>
          <w:tcPr>
            <w:tcW w:w="1695" w:type="dxa"/>
            <w:noWrap/>
            <w:hideMark/>
          </w:tcPr>
          <w:p w14:paraId="71C75F4F" w14:textId="3556C3E5"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$11,907 </w:t>
            </w:r>
          </w:p>
        </w:tc>
      </w:tr>
      <w:tr w:rsidR="007618E1" w:rsidRPr="007618E1" w14:paraId="71652D2B" w14:textId="77777777" w:rsidTr="2C3E9210">
        <w:trPr>
          <w:trHeight w:val="290"/>
        </w:trPr>
        <w:tc>
          <w:tcPr>
            <w:tcW w:w="2462" w:type="dxa"/>
            <w:noWrap/>
            <w:hideMark/>
          </w:tcPr>
          <w:p w14:paraId="0C220A28" w14:textId="35170E20"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Aimright Testing</w:t>
            </w:r>
          </w:p>
        </w:tc>
        <w:tc>
          <w:tcPr>
            <w:tcW w:w="1628" w:type="dxa"/>
            <w:noWrap/>
            <w:hideMark/>
          </w:tcPr>
          <w:p w14:paraId="10EC4746" w14:textId="326D78D2"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4</w:t>
            </w:r>
          </w:p>
        </w:tc>
        <w:tc>
          <w:tcPr>
            <w:tcW w:w="1572" w:type="dxa"/>
            <w:noWrap/>
            <w:hideMark/>
          </w:tcPr>
          <w:p w14:paraId="5376F862" w14:textId="7FD7462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$47,993 </w:t>
            </w:r>
          </w:p>
        </w:tc>
        <w:tc>
          <w:tcPr>
            <w:tcW w:w="1695" w:type="dxa"/>
            <w:noWrap/>
            <w:hideMark/>
          </w:tcPr>
          <w:p w14:paraId="1623AB09" w14:textId="64DD5582"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$9,929 </w:t>
            </w:r>
          </w:p>
        </w:tc>
      </w:tr>
      <w:tr w:rsidR="007618E1" w:rsidRPr="007618E1" w14:paraId="41DB0041" w14:textId="77777777" w:rsidTr="2C3E9210">
        <w:trPr>
          <w:trHeight w:val="290"/>
        </w:trPr>
        <w:tc>
          <w:tcPr>
            <w:tcW w:w="2462" w:type="dxa"/>
            <w:noWrap/>
            <w:hideMark/>
          </w:tcPr>
          <w:p w14:paraId="5182AD9A" w14:textId="48005B49"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Atlas Land Office</w:t>
            </w:r>
          </w:p>
        </w:tc>
        <w:tc>
          <w:tcPr>
            <w:tcW w:w="1628" w:type="dxa"/>
            <w:noWrap/>
            <w:hideMark/>
          </w:tcPr>
          <w:p w14:paraId="1D4AC4D7" w14:textId="29FAFE10"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586E220D" w14:textId="7645847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$1,620 </w:t>
            </w:r>
          </w:p>
        </w:tc>
        <w:tc>
          <w:tcPr>
            <w:tcW w:w="1695" w:type="dxa"/>
            <w:noWrap/>
            <w:hideMark/>
          </w:tcPr>
          <w:p w14:paraId="141D4489" w14:textId="5F5A855B"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$1,620 </w:t>
            </w:r>
          </w:p>
        </w:tc>
      </w:tr>
      <w:tr w:rsidR="007618E1" w:rsidRPr="007618E1" w14:paraId="6B3D0A17" w14:textId="77777777" w:rsidTr="2C3E9210">
        <w:trPr>
          <w:trHeight w:val="290"/>
        </w:trPr>
        <w:tc>
          <w:tcPr>
            <w:tcW w:w="2462" w:type="dxa"/>
            <w:noWrap/>
            <w:hideMark/>
          </w:tcPr>
          <w:p w14:paraId="09A59835" w14:textId="5000DC26" w:rsidR="007618E1" w:rsidRPr="00F22647" w:rsidRDefault="007618E1" w:rsidP="007618E1">
            <w:pPr>
              <w:spacing w:line="240" w:lineRule="auto"/>
              <w:rPr>
                <w:rFonts w:asciiTheme="majorHAnsi" w:eastAsia="Times New Roman" w:hAnsiTheme="majorHAnsi" w:cstheme="majorHAnsi"/>
                <w:color w:val="000000"/>
                <w:sz w:val="20"/>
                <w:szCs w:val="20"/>
              </w:rPr>
            </w:pPr>
            <w:proofErr w:type="spellStart"/>
            <w:r w:rsidRPr="00F22647">
              <w:rPr>
                <w:rFonts w:asciiTheme="majorHAnsi" w:hAnsiTheme="majorHAnsi" w:cstheme="majorHAnsi"/>
                <w:sz w:val="20"/>
                <w:szCs w:val="20"/>
              </w:rPr>
              <w:t>Geodeca</w:t>
            </w:r>
            <w:proofErr w:type="spellEnd"/>
            <w:r w:rsidRPr="00F22647">
              <w:rPr>
                <w:rFonts w:asciiTheme="majorHAnsi" w:hAnsiTheme="majorHAnsi" w:cstheme="majorHAnsi"/>
                <w:sz w:val="20"/>
                <w:szCs w:val="20"/>
              </w:rPr>
              <w:t xml:space="preserve"> Surveying</w:t>
            </w:r>
          </w:p>
        </w:tc>
        <w:tc>
          <w:tcPr>
            <w:tcW w:w="1628" w:type="dxa"/>
            <w:noWrap/>
            <w:hideMark/>
          </w:tcPr>
          <w:p w14:paraId="30CCCD85" w14:textId="4843AA9F"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3BF53DDC" w14:textId="729BC38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$3,900 </w:t>
            </w:r>
          </w:p>
        </w:tc>
        <w:tc>
          <w:tcPr>
            <w:tcW w:w="1695" w:type="dxa"/>
            <w:noWrap/>
            <w:hideMark/>
          </w:tcPr>
          <w:p w14:paraId="4A52F2E5" w14:textId="65ADCAA8"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$1,617 </w:t>
            </w:r>
          </w:p>
        </w:tc>
      </w:tr>
      <w:tr w:rsidR="007618E1" w:rsidRPr="007618E1" w14:paraId="09782526" w14:textId="77777777" w:rsidTr="2C3E9210">
        <w:trPr>
          <w:trHeight w:val="300"/>
        </w:trPr>
        <w:tc>
          <w:tcPr>
            <w:tcW w:w="2462" w:type="dxa"/>
            <w:noWrap/>
            <w:hideMark/>
          </w:tcPr>
          <w:p w14:paraId="1FB8F876" w14:textId="7A51F852" w:rsidR="007618E1" w:rsidRPr="00F22647" w:rsidRDefault="007618E1" w:rsidP="007618E1">
            <w:pPr>
              <w:spacing w:line="240" w:lineRule="auto"/>
              <w:rPr>
                <w:rFonts w:asciiTheme="majorHAnsi" w:eastAsia="Times New Roman" w:hAnsiTheme="majorHAnsi" w:cstheme="majorHAnsi"/>
                <w:color w:val="000000"/>
                <w:sz w:val="20"/>
                <w:szCs w:val="20"/>
              </w:rPr>
            </w:pPr>
            <w:proofErr w:type="spellStart"/>
            <w:r w:rsidRPr="00F22647">
              <w:rPr>
                <w:rFonts w:asciiTheme="majorHAnsi" w:hAnsiTheme="majorHAnsi" w:cstheme="majorHAnsi"/>
                <w:sz w:val="20"/>
                <w:szCs w:val="20"/>
              </w:rPr>
              <w:t>Fram'em</w:t>
            </w:r>
            <w:proofErr w:type="spellEnd"/>
            <w:r w:rsidRPr="00F22647">
              <w:rPr>
                <w:rFonts w:asciiTheme="majorHAnsi" w:hAnsiTheme="majorHAnsi" w:cstheme="majorHAnsi"/>
                <w:sz w:val="20"/>
                <w:szCs w:val="20"/>
              </w:rPr>
              <w:t xml:space="preserve"> &amp; </w:t>
            </w:r>
            <w:proofErr w:type="spellStart"/>
            <w:r w:rsidRPr="00F22647">
              <w:rPr>
                <w:rFonts w:asciiTheme="majorHAnsi" w:hAnsiTheme="majorHAnsi" w:cstheme="majorHAnsi"/>
                <w:sz w:val="20"/>
                <w:szCs w:val="20"/>
              </w:rPr>
              <w:t>Hang'em</w:t>
            </w:r>
            <w:proofErr w:type="spellEnd"/>
          </w:p>
        </w:tc>
        <w:tc>
          <w:tcPr>
            <w:tcW w:w="1628" w:type="dxa"/>
            <w:noWrap/>
            <w:hideMark/>
          </w:tcPr>
          <w:p w14:paraId="1620941F" w14:textId="4B7DF581"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1</w:t>
            </w:r>
          </w:p>
        </w:tc>
        <w:tc>
          <w:tcPr>
            <w:tcW w:w="1572" w:type="dxa"/>
            <w:noWrap/>
            <w:hideMark/>
          </w:tcPr>
          <w:p w14:paraId="7ADF2726" w14:textId="4C4A745D"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$8,661 </w:t>
            </w:r>
          </w:p>
        </w:tc>
        <w:tc>
          <w:tcPr>
            <w:tcW w:w="1695" w:type="dxa"/>
            <w:noWrap/>
            <w:hideMark/>
          </w:tcPr>
          <w:p w14:paraId="5DEDDE5B" w14:textId="576A4952"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   </w:t>
            </w:r>
          </w:p>
        </w:tc>
      </w:tr>
      <w:tr w:rsidR="007618E1" w:rsidRPr="007618E1" w14:paraId="758AC2DE" w14:textId="77777777" w:rsidTr="2C3E9210">
        <w:trPr>
          <w:cnfStyle w:val="010000000000" w:firstRow="0" w:lastRow="1" w:firstColumn="0" w:lastColumn="0" w:oddVBand="0" w:evenVBand="0" w:oddHBand="0" w:evenHBand="0" w:firstRowFirstColumn="0" w:firstRowLastColumn="0" w:lastRowFirstColumn="0" w:lastRowLastColumn="0"/>
          <w:trHeight w:val="300"/>
        </w:trPr>
        <w:tc>
          <w:tcPr>
            <w:tcW w:w="2462" w:type="dxa"/>
            <w:noWrap/>
            <w:hideMark/>
          </w:tcPr>
          <w:p w14:paraId="6135DF58" w14:textId="441DE8A1" w:rsidR="007618E1" w:rsidRPr="00F22647" w:rsidRDefault="007618E1" w:rsidP="007618E1">
            <w:pPr>
              <w:spacing w:line="240" w:lineRule="auto"/>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Total</w:t>
            </w:r>
          </w:p>
        </w:tc>
        <w:tc>
          <w:tcPr>
            <w:tcW w:w="1628" w:type="dxa"/>
            <w:noWrap/>
            <w:hideMark/>
          </w:tcPr>
          <w:p w14:paraId="6AC62A2D" w14:textId="1B844C68"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218</w:t>
            </w:r>
          </w:p>
        </w:tc>
        <w:tc>
          <w:tcPr>
            <w:tcW w:w="1572" w:type="dxa"/>
            <w:noWrap/>
            <w:hideMark/>
          </w:tcPr>
          <w:p w14:paraId="4F4D002D" w14:textId="24E9673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$13,142,463 </w:t>
            </w:r>
          </w:p>
        </w:tc>
        <w:tc>
          <w:tcPr>
            <w:tcW w:w="1695" w:type="dxa"/>
            <w:noWrap/>
            <w:hideMark/>
          </w:tcPr>
          <w:p w14:paraId="580C93B1" w14:textId="43626729" w:rsidR="007618E1" w:rsidRPr="00F22647" w:rsidRDefault="007618E1" w:rsidP="007618E1">
            <w:pPr>
              <w:spacing w:line="240" w:lineRule="auto"/>
              <w:jc w:val="right"/>
              <w:rPr>
                <w:rFonts w:asciiTheme="majorHAnsi" w:eastAsia="Times New Roman" w:hAnsiTheme="majorHAnsi" w:cstheme="majorHAnsi"/>
                <w:color w:val="000000"/>
                <w:sz w:val="20"/>
                <w:szCs w:val="20"/>
              </w:rPr>
            </w:pPr>
            <w:r w:rsidRPr="00F22647">
              <w:rPr>
                <w:rFonts w:asciiTheme="majorHAnsi" w:hAnsiTheme="majorHAnsi" w:cstheme="majorHAnsi"/>
                <w:sz w:val="20"/>
                <w:szCs w:val="20"/>
              </w:rPr>
              <w:t xml:space="preserve"> $14,958,137 </w:t>
            </w:r>
          </w:p>
        </w:tc>
      </w:tr>
    </w:tbl>
    <w:p w14:paraId="0377D7EE" w14:textId="77777777" w:rsidR="007618E1" w:rsidRPr="007618E1" w:rsidRDefault="007618E1" w:rsidP="007618E1"/>
    <w:sectPr w:rsidR="007618E1" w:rsidRPr="007618E1" w:rsidSect="000D0AEB">
      <w:headerReference w:type="default" r:id="rId10"/>
      <w:footerReference w:type="default" r:id="rId11"/>
      <w:pgSz w:w="12240" w:h="15840"/>
      <w:pgMar w:top="2592" w:right="1080" w:bottom="24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03FC" w14:textId="77777777" w:rsidR="002E0939" w:rsidRDefault="002E0939" w:rsidP="000D0AEB">
      <w:pPr>
        <w:spacing w:line="240" w:lineRule="auto"/>
      </w:pPr>
      <w:r>
        <w:separator/>
      </w:r>
    </w:p>
  </w:endnote>
  <w:endnote w:type="continuationSeparator" w:id="0">
    <w:p w14:paraId="2F7A2EFC" w14:textId="77777777" w:rsidR="002E0939" w:rsidRDefault="002E0939" w:rsidP="000D0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D064" w14:textId="77777777" w:rsidR="002E0939" w:rsidRDefault="002E0939">
    <w:pPr>
      <w:pStyle w:val="Footer"/>
    </w:pPr>
    <w:r>
      <w:rPr>
        <w:noProof/>
      </w:rPr>
      <mc:AlternateContent>
        <mc:Choice Requires="wps">
          <w:drawing>
            <wp:anchor distT="0" distB="0" distL="114300" distR="114300" simplePos="0" relativeHeight="251662336" behindDoc="0" locked="0" layoutInCell="1" allowOverlap="1" wp14:anchorId="11876AFE" wp14:editId="13204261">
              <wp:simplePos x="0" y="0"/>
              <wp:positionH relativeFrom="column">
                <wp:posOffset>5168900</wp:posOffset>
              </wp:positionH>
              <wp:positionV relativeFrom="paragraph">
                <wp:posOffset>-474345</wp:posOffset>
              </wp:positionV>
              <wp:extent cx="1555750" cy="7747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555750" cy="774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3" style="position:absolute;margin-left:407pt;margin-top:-37.35pt;width:122.5pt;height:61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5D8F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NkwIAAKwFAAAOAAAAZHJzL2Uyb0RvYy54bWysVE1v2zAMvQ/YfxB0X22nybIFdYqgRYcB&#10;RRu0HXpWZCk2IImapMTJfv0o+SNdV+xQLAdFFMlH8pnkxeVBK7IXzjdgSlqc5ZQIw6FqzLakP55u&#10;Pn2hxAdmKqbAiJIehaeXy48fLlq7EBOoQVXCEQQxftHaktYh2EWWeV4LzfwZWGFQKcFpFlB026xy&#10;rEV0rbJJnn/OWnCVdcCF9/h63SnpMuFLKXi4l9KLQFRJMbeQTpfOTTyz5QVbbB2zdcP7NNg7stCs&#10;MRh0hLpmgZGda/6C0g134EGGMw46AykbLlINWE2Rv6rmsWZWpFqQHG9Hmvz/g+V3+7UjTVXSc0oM&#10;0/iJHpA0ZrZKkPNIT2v9Aq0e7dr1ksdrrPUgnY7/WAU5JEqPI6XiEAjHx2I2m81nyDxH3Xw+neeJ&#10;8+zkbZ0P3wRoEi8ldRg9Mcn2tz5gRDQdTGIwD6qpbhqlkhDbRFwpR/YMP/BmW8SM0eMPK2Xe5Ygw&#10;0TOLBHQlp1s4KhHxlHkQEpnDIicp4dSzp2QY58KEolPVrBJdjrMcf0OWQ/op5wQYkSVWN2L3AINl&#10;BzJgd8X29tFVpJYfnfN/JdY5jx4pMpgwOuvGgHsLQGFVfeTOfiCpoyaytIHqiH3loBs4b/lNg5/3&#10;lvmwZg4nDDsCt0a4x0MqaEsK/Y2SGtyvt96jPTY+ailpcWJL6n/umBOUqO8GR+JrMZ3GEU/CdDaf&#10;oOBeajYvNWanrwB7psD9ZHm6Rvughqt0oJ9xuaxiVFQxwzF2SXlwg3AVuk2C64mL1SqZ4VhbFm7N&#10;o+URPLIa2/fp8Myc7Xs84HTcwTDdbPGq1Tvb6GlgtQsgmzQHJ157vnElpMbp11fcOS/lZHVassvf&#10;AAAA//8DAFBLAwQUAAYACAAAACEA4A6/EeIAAAALAQAADwAAAGRycy9kb3ducmV2LnhtbEyPwU7D&#10;MBBE70j8g7VI3FqnJZA2ZFMhBEJIPUCL1B63iZ1ExOsodtLw97gnOM7OaPZNtplMK0bVu8YywmIe&#10;gVBc2LLhCuFr/zpbgXCeuKTWskL4UQ42+fVVRmlpz/ypxp2vRChhlxJC7X2XSumKWhlyc9spDp62&#10;vSEfZF/JsqdzKDetXEbRgzTUcPhQU6eea1V87waDcNT0tn95d1upl6NeNx/DQScD4u3N9PQIwqvJ&#10;/4Xhgh/QIQ9MJztw6USLsFrEYYtHmCVxAuKSiO7X4XRCiJM7kHkm/2/IfwEAAP//AwBQSwECLQAU&#10;AAYACAAAACEAtoM4kv4AAADhAQAAEwAAAAAAAAAAAAAAAAAAAAAAW0NvbnRlbnRfVHlwZXNdLnht&#10;bFBLAQItABQABgAIAAAAIQA4/SH/1gAAAJQBAAALAAAAAAAAAAAAAAAAAC8BAABfcmVscy8ucmVs&#10;c1BLAQItABQABgAIAAAAIQCdMpBNkwIAAKwFAAAOAAAAAAAAAAAAAAAAAC4CAABkcnMvZTJvRG9j&#10;LnhtbFBLAQItABQABgAIAAAAIQDgDr8R4gAAAAsBAAAPAAAAAAAAAAAAAAAAAO0EAABkcnMvZG93&#10;bnJldi54bWxQSwUGAAAAAAQABADzAAAA/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08AF" w14:textId="77777777" w:rsidR="002E0939" w:rsidRDefault="002E0939" w:rsidP="000D0AEB">
      <w:pPr>
        <w:spacing w:line="240" w:lineRule="auto"/>
      </w:pPr>
      <w:r>
        <w:separator/>
      </w:r>
    </w:p>
  </w:footnote>
  <w:footnote w:type="continuationSeparator" w:id="0">
    <w:p w14:paraId="0409EC70" w14:textId="77777777" w:rsidR="002E0939" w:rsidRDefault="002E0939" w:rsidP="000D0A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A3EE" w14:textId="77777777" w:rsidR="002E0939" w:rsidRDefault="002E0939">
    <w:pPr>
      <w:pStyle w:val="Header"/>
    </w:pPr>
    <w:r>
      <w:rPr>
        <w:noProof/>
      </w:rPr>
      <w:drawing>
        <wp:anchor distT="0" distB="0" distL="114300" distR="114300" simplePos="0" relativeHeight="251661312" behindDoc="1" locked="1" layoutInCell="1" allowOverlap="1" wp14:anchorId="6CD1655B" wp14:editId="382A4580">
          <wp:simplePos x="0" y="0"/>
          <wp:positionH relativeFrom="page">
            <wp:posOffset>-6350</wp:posOffset>
          </wp:positionH>
          <wp:positionV relativeFrom="page">
            <wp:posOffset>8832850</wp:posOffset>
          </wp:positionV>
          <wp:extent cx="7772400" cy="1216152"/>
          <wp:effectExtent l="0" t="0" r="0" b="3175"/>
          <wp:wrapNone/>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2161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0" wp14:anchorId="48B919A3" wp14:editId="00196FC4">
          <wp:simplePos x="0" y="0"/>
          <wp:positionH relativeFrom="page">
            <wp:posOffset>0</wp:posOffset>
          </wp:positionH>
          <wp:positionV relativeFrom="page">
            <wp:posOffset>0</wp:posOffset>
          </wp:positionV>
          <wp:extent cx="7754112" cy="13350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54112" cy="133502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1" layoutInCell="1" allowOverlap="0" wp14:anchorId="6AE154BE" wp14:editId="617CF31C">
              <wp:simplePos x="0" y="0"/>
              <wp:positionH relativeFrom="column">
                <wp:posOffset>-19050</wp:posOffset>
              </wp:positionH>
              <wp:positionV relativeFrom="page">
                <wp:posOffset>9089390</wp:posOffset>
              </wp:positionV>
              <wp:extent cx="3465576" cy="313690"/>
              <wp:effectExtent l="0" t="0" r="19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576" cy="313690"/>
                      </a:xfrm>
                      <a:prstGeom prst="rect">
                        <a:avLst/>
                      </a:prstGeom>
                      <a:noFill/>
                      <a:ln w="9525">
                        <a:noFill/>
                        <a:miter lim="800000"/>
                        <a:headEnd/>
                        <a:tailEnd/>
                      </a:ln>
                    </wps:spPr>
                    <wps:txbx>
                      <w:txbxContent>
                        <w:p w14:paraId="579F4E3E" w14:textId="77777777" w:rsidR="002E0939" w:rsidRPr="00152A70" w:rsidRDefault="002E0939" w:rsidP="00152A70">
                          <w:pPr>
                            <w:spacing w:line="240" w:lineRule="exact"/>
                            <w:rPr>
                              <w:b/>
                              <w:bCs/>
                              <w:color w:val="012D73" w:themeColor="text2"/>
                              <w:sz w:val="20"/>
                              <w:szCs w:val="20"/>
                            </w:rPr>
                          </w:pPr>
                          <w:r w:rsidRPr="00152A70">
                            <w:rPr>
                              <w:b/>
                              <w:bCs/>
                              <w:color w:val="012D73" w:themeColor="text2"/>
                              <w:sz w:val="20"/>
                              <w:szCs w:val="20"/>
                            </w:rPr>
                            <w:t>Tulsa Authority for Economic Opportunity</w:t>
                          </w:r>
                        </w:p>
                        <w:p w14:paraId="1589738C" w14:textId="77777777" w:rsidR="002E0939" w:rsidRPr="00152A70" w:rsidRDefault="002E0939" w:rsidP="00152A70">
                          <w:pPr>
                            <w:spacing w:line="240" w:lineRule="exact"/>
                            <w:rPr>
                              <w:sz w:val="20"/>
                              <w:szCs w:val="20"/>
                            </w:rPr>
                          </w:pPr>
                          <w:r w:rsidRPr="00152A70">
                            <w:rPr>
                              <w:sz w:val="20"/>
                              <w:szCs w:val="20"/>
                            </w:rPr>
                            <w:t>175 E. 2</w:t>
                          </w:r>
                          <w:r w:rsidRPr="00152A70">
                            <w:rPr>
                              <w:sz w:val="20"/>
                              <w:szCs w:val="20"/>
                              <w:vertAlign w:val="superscript"/>
                            </w:rPr>
                            <w:t>nd</w:t>
                          </w:r>
                          <w:r w:rsidRPr="00152A70">
                            <w:rPr>
                              <w:sz w:val="20"/>
                              <w:szCs w:val="20"/>
                            </w:rPr>
                            <w:t xml:space="preserve"> St., 15</w:t>
                          </w:r>
                          <w:r w:rsidRPr="00152A70">
                            <w:rPr>
                              <w:sz w:val="20"/>
                              <w:szCs w:val="20"/>
                              <w:vertAlign w:val="superscript"/>
                            </w:rPr>
                            <w:t>th</w:t>
                          </w:r>
                          <w:r w:rsidRPr="00152A70">
                            <w:rPr>
                              <w:sz w:val="20"/>
                              <w:szCs w:val="20"/>
                            </w:rPr>
                            <w:t xml:space="preserve"> Floor, Tulsa, OK 74103</w:t>
                          </w:r>
                          <w:r>
                            <w:rPr>
                              <w:sz w:val="20"/>
                              <w:szCs w:val="20"/>
                            </w:rPr>
                            <w:softHyphen/>
                          </w:r>
                          <w:r>
                            <w:rPr>
                              <w:sz w:val="20"/>
                              <w:szCs w:val="20"/>
                            </w:rPr>
                            <w:softHyphen/>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AE154BE">
              <v:stroke joinstyle="miter"/>
              <v:path gradientshapeok="t" o:connecttype="rect"/>
            </v:shapetype>
            <v:shape id="Text Box 2" style="position:absolute;margin-left:-1.5pt;margin-top:715.7pt;width:272.9pt;height:24.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LLBQIAAOQDAAAOAAAAZHJzL2Uyb0RvYy54bWysU9tu2zAMfR+wfxD0vjiXJW2NOEXXLsOA&#10;7gK0+wBGlmNhkqhJSuzs60vJSRpsb8P8INAiechDHi1ve6PZXvqg0FZ8MhpzJq3AWtltxX88r99d&#10;cxYi2Bo0Wlnxgwz8dvX2zbJzpZxii7qWnhGIDWXnKt7G6MqiCKKVBsIInbTkbNAbiPTrt0XtoSN0&#10;o4vpeLwoOvS18yhkCHT7MDj5KuM3jRTxW9MEGZmuOPUW8+nzuUlnsVpCufXgWiWObcA/dGFAWSp6&#10;hnqACGzn1V9QRgmPAZs4EmgKbBolZOZAbCbjP9g8teBk5kLDCe48pvD/YMXX/XfPVF3x6eSKMwuG&#10;lvQs+8g+YM+maT6dCyWFPTkKjD1d054z1+AeUfwMzOJ9C3Yr77zHrpVQU3+TlFlcpA44IYFsui9Y&#10;UxnYRcxAfeNNGh6NgxE67elw3k1qRdDl7P1iPr9acCbIN5vMFjd5eQWUp2znQ/wk0bBkVNzT7jM6&#10;7B9DTN1AeQpJxSyuldZ5/9qyruI38+k8J1x4jIokT61Mxa/H6RsEk0h+tHVOjqD0YFMBbY+sE9GB&#10;cuw3PQWmUWywPhB/j4MM6dmQ0aL/zVlHEqx4+LUDLznTny3NMOn1ZPiTsTkZYAWlVjxyNpj3Mes6&#10;cQvujma7Vpn2a+VjbySlPI2j7JNWL/9z1OvjXL0AAAD//wMAUEsDBBQABgAIAAAAIQAXRAir3gAA&#10;AAwBAAAPAAAAZHJzL2Rvd25yZXYueG1sTI/NTsMwEITvSLyDtUjcWqdtikKIU6FKXLi1Bc5OvCQW&#10;/klttzVvz/ZUjjs7mpmv2WRr2BlD1N4JWMwLYOh6r7QbBHwc3mYVsJikU9J4hwJ+McKmvb9rZK38&#10;xe3wvE8DoxAXaylgTGmqOY/9iFbGuZ/Q0e/bBysTnWHgKsgLhVvDl0XxxK3UjhpGOeF2xP5nf7IC&#10;jop3+f04qLxdf+lPbbrn/hCEeHzIry/AEuZ0M8N1Pk2HljZ1/uRUZEbAbEUoifRytSiBkWNdLgmm&#10;u0pVUQFvG/4fov0DAAD//wMAUEsBAi0AFAAGAAgAAAAhALaDOJL+AAAA4QEAABMAAAAAAAAAAAAA&#10;AAAAAAAAAFtDb250ZW50X1R5cGVzXS54bWxQSwECLQAUAAYACAAAACEAOP0h/9YAAACUAQAACwAA&#10;AAAAAAAAAAAAAAAvAQAAX3JlbHMvLnJlbHNQSwECLQAUAAYACAAAACEAy0fSywUCAADkAwAADgAA&#10;AAAAAAAAAAAAAAAuAgAAZHJzL2Uyb0RvYy54bWxQSwECLQAUAAYACAAAACEAF0QIq94AAAAMAQAA&#10;DwAAAAAAAAAAAAAAAABfBAAAZHJzL2Rvd25yZXYueG1sUEsFBgAAAAAEAAQA8wAAAGoFAAAAAA==&#10;">
              <v:textbox style="mso-fit-shape-to-text:t" inset="0,0,0,0">
                <w:txbxContent>
                  <w:p w:rsidRPr="00152A70" w:rsidR="002E0939" w:rsidP="00152A70" w:rsidRDefault="002E0939" w14:paraId="579F4E3E" w14:textId="77777777">
                    <w:pPr>
                      <w:spacing w:line="240" w:lineRule="exact"/>
                      <w:rPr>
                        <w:b/>
                        <w:bCs/>
                        <w:color w:val="012D73" w:themeColor="text2"/>
                        <w:sz w:val="20"/>
                        <w:szCs w:val="20"/>
                      </w:rPr>
                    </w:pPr>
                    <w:r w:rsidRPr="00152A70">
                      <w:rPr>
                        <w:b/>
                        <w:bCs/>
                        <w:color w:val="012D73" w:themeColor="text2"/>
                        <w:sz w:val="20"/>
                        <w:szCs w:val="20"/>
                      </w:rPr>
                      <w:t>Tulsa Authority for Economic Opportunity</w:t>
                    </w:r>
                  </w:p>
                  <w:p w:rsidRPr="00152A70" w:rsidR="002E0939" w:rsidP="00152A70" w:rsidRDefault="002E0939" w14:paraId="1589738C" w14:textId="77777777">
                    <w:pPr>
                      <w:spacing w:line="240" w:lineRule="exact"/>
                      <w:rPr>
                        <w:sz w:val="20"/>
                        <w:szCs w:val="20"/>
                      </w:rPr>
                    </w:pPr>
                    <w:r w:rsidRPr="00152A70">
                      <w:rPr>
                        <w:sz w:val="20"/>
                        <w:szCs w:val="20"/>
                      </w:rPr>
                      <w:t>175 E. 2</w:t>
                    </w:r>
                    <w:r w:rsidRPr="00152A70">
                      <w:rPr>
                        <w:sz w:val="20"/>
                        <w:szCs w:val="20"/>
                        <w:vertAlign w:val="superscript"/>
                      </w:rPr>
                      <w:t>nd</w:t>
                    </w:r>
                    <w:r w:rsidRPr="00152A70">
                      <w:rPr>
                        <w:sz w:val="20"/>
                        <w:szCs w:val="20"/>
                      </w:rPr>
                      <w:t xml:space="preserve"> St., 15</w:t>
                    </w:r>
                    <w:r w:rsidRPr="00152A70">
                      <w:rPr>
                        <w:sz w:val="20"/>
                        <w:szCs w:val="20"/>
                        <w:vertAlign w:val="superscript"/>
                      </w:rPr>
                      <w:t>th</w:t>
                    </w:r>
                    <w:r w:rsidRPr="00152A70">
                      <w:rPr>
                        <w:sz w:val="20"/>
                        <w:szCs w:val="20"/>
                      </w:rPr>
                      <w:t xml:space="preserve"> Floor, Tulsa, OK 74103</w:t>
                    </w:r>
                    <w:r>
                      <w:rPr>
                        <w:sz w:val="20"/>
                        <w:szCs w:val="20"/>
                      </w:rPr>
                      <w:softHyphen/>
                    </w:r>
                    <w:r>
                      <w:rPr>
                        <w:sz w:val="20"/>
                        <w:szCs w:val="20"/>
                      </w:rPr>
                      <w:softHyphen/>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F89"/>
    <w:multiLevelType w:val="hybridMultilevel"/>
    <w:tmpl w:val="0E505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991600"/>
    <w:multiLevelType w:val="hybridMultilevel"/>
    <w:tmpl w:val="DFDEE200"/>
    <w:lvl w:ilvl="0" w:tplc="88AEFF3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1E2C14"/>
    <w:multiLevelType w:val="hybridMultilevel"/>
    <w:tmpl w:val="8FEAB0D8"/>
    <w:lvl w:ilvl="0" w:tplc="88AEFF36">
      <w:start w:val="1"/>
      <w:numFmt w:val="bullet"/>
      <w:lvlText w:val=""/>
      <w:lvlJc w:val="left"/>
      <w:pPr>
        <w:ind w:left="42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31C0F6F"/>
    <w:multiLevelType w:val="hybridMultilevel"/>
    <w:tmpl w:val="84BC9570"/>
    <w:lvl w:ilvl="0" w:tplc="EE049406">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A7B47"/>
    <w:multiLevelType w:val="hybridMultilevel"/>
    <w:tmpl w:val="F3ACCEE2"/>
    <w:lvl w:ilvl="0" w:tplc="61FECA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A47F52"/>
    <w:multiLevelType w:val="hybridMultilevel"/>
    <w:tmpl w:val="6822444A"/>
    <w:lvl w:ilvl="0" w:tplc="15D4D412">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13A41BA"/>
    <w:multiLevelType w:val="hybridMultilevel"/>
    <w:tmpl w:val="B7AE1E24"/>
    <w:lvl w:ilvl="0" w:tplc="20C8DE8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F73BC9"/>
    <w:multiLevelType w:val="hybridMultilevel"/>
    <w:tmpl w:val="C5EC763C"/>
    <w:lvl w:ilvl="0" w:tplc="C360BAC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77A68CF"/>
    <w:multiLevelType w:val="hybridMultilevel"/>
    <w:tmpl w:val="3648C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EF84522"/>
    <w:multiLevelType w:val="hybridMultilevel"/>
    <w:tmpl w:val="F73A0DF8"/>
    <w:lvl w:ilvl="0" w:tplc="C360BAC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D766A7"/>
    <w:multiLevelType w:val="hybridMultilevel"/>
    <w:tmpl w:val="C82A6756"/>
    <w:lvl w:ilvl="0" w:tplc="88AEFF3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859BE"/>
    <w:multiLevelType w:val="hybridMultilevel"/>
    <w:tmpl w:val="0C8E16F8"/>
    <w:lvl w:ilvl="0" w:tplc="A3CA2C76">
      <w:start w:val="1"/>
      <w:numFmt w:val="bullet"/>
      <w:pStyle w:val="JD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2A2EA0"/>
    <w:multiLevelType w:val="hybridMultilevel"/>
    <w:tmpl w:val="EA3CC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DF6045"/>
    <w:multiLevelType w:val="hybridMultilevel"/>
    <w:tmpl w:val="0A140F7A"/>
    <w:lvl w:ilvl="0" w:tplc="39585FD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
  </w:num>
  <w:num w:numId="4">
    <w:abstractNumId w:val="2"/>
  </w:num>
  <w:num w:numId="5">
    <w:abstractNumId w:val="10"/>
  </w:num>
  <w:num w:numId="6">
    <w:abstractNumId w:val="0"/>
  </w:num>
  <w:num w:numId="7">
    <w:abstractNumId w:val="7"/>
  </w:num>
  <w:num w:numId="8">
    <w:abstractNumId w:val="5"/>
  </w:num>
  <w:num w:numId="9">
    <w:abstractNumId w:val="9"/>
  </w:num>
  <w:num w:numId="10">
    <w:abstractNumId w:val="4"/>
  </w:num>
  <w:num w:numId="11">
    <w:abstractNumId w:val="3"/>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F9"/>
    <w:rsid w:val="00015A0D"/>
    <w:rsid w:val="00023F2D"/>
    <w:rsid w:val="00033304"/>
    <w:rsid w:val="00034FF3"/>
    <w:rsid w:val="000478B3"/>
    <w:rsid w:val="00064D6C"/>
    <w:rsid w:val="00066A3F"/>
    <w:rsid w:val="00072110"/>
    <w:rsid w:val="00084DCA"/>
    <w:rsid w:val="00085525"/>
    <w:rsid w:val="00096EA6"/>
    <w:rsid w:val="000A092D"/>
    <w:rsid w:val="000A19C2"/>
    <w:rsid w:val="000A758A"/>
    <w:rsid w:val="000B4D83"/>
    <w:rsid w:val="000B5A44"/>
    <w:rsid w:val="000B601C"/>
    <w:rsid w:val="000B7C93"/>
    <w:rsid w:val="000C41A6"/>
    <w:rsid w:val="000D0AEB"/>
    <w:rsid w:val="000E1A5C"/>
    <w:rsid w:val="000E1CC7"/>
    <w:rsid w:val="0010728B"/>
    <w:rsid w:val="0011207D"/>
    <w:rsid w:val="00114697"/>
    <w:rsid w:val="0011480B"/>
    <w:rsid w:val="00133CBE"/>
    <w:rsid w:val="00144863"/>
    <w:rsid w:val="00152A70"/>
    <w:rsid w:val="0016150A"/>
    <w:rsid w:val="00162420"/>
    <w:rsid w:val="00182151"/>
    <w:rsid w:val="001871EF"/>
    <w:rsid w:val="001878CF"/>
    <w:rsid w:val="00195337"/>
    <w:rsid w:val="001B0AAB"/>
    <w:rsid w:val="001C042C"/>
    <w:rsid w:val="001C43C5"/>
    <w:rsid w:val="001C5AE9"/>
    <w:rsid w:val="001C6D61"/>
    <w:rsid w:val="001D2636"/>
    <w:rsid w:val="001D5089"/>
    <w:rsid w:val="001D5AFB"/>
    <w:rsid w:val="001F1061"/>
    <w:rsid w:val="001F53D2"/>
    <w:rsid w:val="001F54A6"/>
    <w:rsid w:val="00214660"/>
    <w:rsid w:val="00215077"/>
    <w:rsid w:val="00220206"/>
    <w:rsid w:val="00223886"/>
    <w:rsid w:val="00234705"/>
    <w:rsid w:val="0024239F"/>
    <w:rsid w:val="002427A3"/>
    <w:rsid w:val="00242845"/>
    <w:rsid w:val="00244D1D"/>
    <w:rsid w:val="0025741D"/>
    <w:rsid w:val="002675E4"/>
    <w:rsid w:val="002704BF"/>
    <w:rsid w:val="002733B6"/>
    <w:rsid w:val="002764AB"/>
    <w:rsid w:val="00277CCD"/>
    <w:rsid w:val="00281818"/>
    <w:rsid w:val="002928FD"/>
    <w:rsid w:val="00293794"/>
    <w:rsid w:val="002A2237"/>
    <w:rsid w:val="002A5E6B"/>
    <w:rsid w:val="002B5DF9"/>
    <w:rsid w:val="002C252F"/>
    <w:rsid w:val="002D4F3A"/>
    <w:rsid w:val="002E0939"/>
    <w:rsid w:val="00301C2C"/>
    <w:rsid w:val="00302905"/>
    <w:rsid w:val="003056DD"/>
    <w:rsid w:val="003169F4"/>
    <w:rsid w:val="00320141"/>
    <w:rsid w:val="003257BA"/>
    <w:rsid w:val="0035259B"/>
    <w:rsid w:val="00353A85"/>
    <w:rsid w:val="003614C9"/>
    <w:rsid w:val="003743A0"/>
    <w:rsid w:val="0037517B"/>
    <w:rsid w:val="003A0336"/>
    <w:rsid w:val="003A1F37"/>
    <w:rsid w:val="003B3899"/>
    <w:rsid w:val="003B6D21"/>
    <w:rsid w:val="003C5DFA"/>
    <w:rsid w:val="003C73A7"/>
    <w:rsid w:val="003F364C"/>
    <w:rsid w:val="003F46DB"/>
    <w:rsid w:val="004144ED"/>
    <w:rsid w:val="00417300"/>
    <w:rsid w:val="0042683C"/>
    <w:rsid w:val="0045390F"/>
    <w:rsid w:val="0045392A"/>
    <w:rsid w:val="004755B0"/>
    <w:rsid w:val="00476685"/>
    <w:rsid w:val="00480B10"/>
    <w:rsid w:val="00483187"/>
    <w:rsid w:val="00485327"/>
    <w:rsid w:val="004932A3"/>
    <w:rsid w:val="0049793C"/>
    <w:rsid w:val="004A227E"/>
    <w:rsid w:val="004B0459"/>
    <w:rsid w:val="004B3892"/>
    <w:rsid w:val="004C039E"/>
    <w:rsid w:val="004C4A44"/>
    <w:rsid w:val="004F5F18"/>
    <w:rsid w:val="004F7474"/>
    <w:rsid w:val="00503D76"/>
    <w:rsid w:val="00504C5C"/>
    <w:rsid w:val="005130F6"/>
    <w:rsid w:val="005136AE"/>
    <w:rsid w:val="00534051"/>
    <w:rsid w:val="00536CF4"/>
    <w:rsid w:val="00540AF9"/>
    <w:rsid w:val="00543A16"/>
    <w:rsid w:val="00554EC3"/>
    <w:rsid w:val="00555F00"/>
    <w:rsid w:val="005677D2"/>
    <w:rsid w:val="005B019D"/>
    <w:rsid w:val="005B1DF8"/>
    <w:rsid w:val="005E11AC"/>
    <w:rsid w:val="005E595E"/>
    <w:rsid w:val="005E6624"/>
    <w:rsid w:val="005F38A4"/>
    <w:rsid w:val="005F7F62"/>
    <w:rsid w:val="00601822"/>
    <w:rsid w:val="00612B70"/>
    <w:rsid w:val="00620AE5"/>
    <w:rsid w:val="006237FB"/>
    <w:rsid w:val="0062405D"/>
    <w:rsid w:val="0063512B"/>
    <w:rsid w:val="00641E56"/>
    <w:rsid w:val="00645508"/>
    <w:rsid w:val="00655123"/>
    <w:rsid w:val="00661B69"/>
    <w:rsid w:val="00662516"/>
    <w:rsid w:val="00673783"/>
    <w:rsid w:val="00673FCD"/>
    <w:rsid w:val="00677239"/>
    <w:rsid w:val="00696186"/>
    <w:rsid w:val="00697B50"/>
    <w:rsid w:val="006A1C02"/>
    <w:rsid w:val="006A2322"/>
    <w:rsid w:val="006A54C1"/>
    <w:rsid w:val="006B3042"/>
    <w:rsid w:val="006C320B"/>
    <w:rsid w:val="006E23E3"/>
    <w:rsid w:val="006E32FD"/>
    <w:rsid w:val="006E5070"/>
    <w:rsid w:val="006F4288"/>
    <w:rsid w:val="00702903"/>
    <w:rsid w:val="007049B0"/>
    <w:rsid w:val="00721A4C"/>
    <w:rsid w:val="00743B6D"/>
    <w:rsid w:val="00750504"/>
    <w:rsid w:val="007522CD"/>
    <w:rsid w:val="007546A4"/>
    <w:rsid w:val="007618E1"/>
    <w:rsid w:val="00763D6F"/>
    <w:rsid w:val="00764DF0"/>
    <w:rsid w:val="00765C16"/>
    <w:rsid w:val="007661B1"/>
    <w:rsid w:val="00766208"/>
    <w:rsid w:val="007728CD"/>
    <w:rsid w:val="007778F8"/>
    <w:rsid w:val="00780FD3"/>
    <w:rsid w:val="00784D45"/>
    <w:rsid w:val="007946EA"/>
    <w:rsid w:val="00797263"/>
    <w:rsid w:val="007A1FF6"/>
    <w:rsid w:val="007A4710"/>
    <w:rsid w:val="007C04F0"/>
    <w:rsid w:val="007F0EEC"/>
    <w:rsid w:val="00807AF4"/>
    <w:rsid w:val="00830E84"/>
    <w:rsid w:val="00834528"/>
    <w:rsid w:val="0084191D"/>
    <w:rsid w:val="00841DD0"/>
    <w:rsid w:val="00850784"/>
    <w:rsid w:val="00851BDB"/>
    <w:rsid w:val="0086589F"/>
    <w:rsid w:val="00865FCD"/>
    <w:rsid w:val="00870D2B"/>
    <w:rsid w:val="0087331B"/>
    <w:rsid w:val="00873AEC"/>
    <w:rsid w:val="00882286"/>
    <w:rsid w:val="00887258"/>
    <w:rsid w:val="00892B3D"/>
    <w:rsid w:val="008955BC"/>
    <w:rsid w:val="008A339D"/>
    <w:rsid w:val="008A5CBB"/>
    <w:rsid w:val="008A73F8"/>
    <w:rsid w:val="008B1A7C"/>
    <w:rsid w:val="008B3DE8"/>
    <w:rsid w:val="008B726F"/>
    <w:rsid w:val="008D0F0F"/>
    <w:rsid w:val="008D62AC"/>
    <w:rsid w:val="008E3EA0"/>
    <w:rsid w:val="008E79D4"/>
    <w:rsid w:val="00902E0C"/>
    <w:rsid w:val="009077F0"/>
    <w:rsid w:val="00912ACE"/>
    <w:rsid w:val="009133EB"/>
    <w:rsid w:val="00915C7B"/>
    <w:rsid w:val="0092135D"/>
    <w:rsid w:val="00940ABB"/>
    <w:rsid w:val="00940B48"/>
    <w:rsid w:val="00941DF5"/>
    <w:rsid w:val="00950C24"/>
    <w:rsid w:val="009523BF"/>
    <w:rsid w:val="00965359"/>
    <w:rsid w:val="00966108"/>
    <w:rsid w:val="00970EDF"/>
    <w:rsid w:val="009917CB"/>
    <w:rsid w:val="009A0688"/>
    <w:rsid w:val="009A21DE"/>
    <w:rsid w:val="009A410D"/>
    <w:rsid w:val="009B239E"/>
    <w:rsid w:val="009B390F"/>
    <w:rsid w:val="009D2C0B"/>
    <w:rsid w:val="009E0D95"/>
    <w:rsid w:val="009E3027"/>
    <w:rsid w:val="009E5C11"/>
    <w:rsid w:val="009F1B00"/>
    <w:rsid w:val="009F202B"/>
    <w:rsid w:val="00A10EAF"/>
    <w:rsid w:val="00A27C57"/>
    <w:rsid w:val="00A30AF6"/>
    <w:rsid w:val="00A34821"/>
    <w:rsid w:val="00A5565B"/>
    <w:rsid w:val="00A60C60"/>
    <w:rsid w:val="00A63FED"/>
    <w:rsid w:val="00A66CA1"/>
    <w:rsid w:val="00A7387C"/>
    <w:rsid w:val="00A76C32"/>
    <w:rsid w:val="00A850F6"/>
    <w:rsid w:val="00A851E9"/>
    <w:rsid w:val="00A87E38"/>
    <w:rsid w:val="00A917C9"/>
    <w:rsid w:val="00A97C47"/>
    <w:rsid w:val="00AA3749"/>
    <w:rsid w:val="00AA6D59"/>
    <w:rsid w:val="00AB0970"/>
    <w:rsid w:val="00AD2E16"/>
    <w:rsid w:val="00AD50A7"/>
    <w:rsid w:val="00AD77A1"/>
    <w:rsid w:val="00AE2228"/>
    <w:rsid w:val="00AF3E6B"/>
    <w:rsid w:val="00B15F9E"/>
    <w:rsid w:val="00B15FF2"/>
    <w:rsid w:val="00B16D6C"/>
    <w:rsid w:val="00B2322E"/>
    <w:rsid w:val="00B275DD"/>
    <w:rsid w:val="00B33B46"/>
    <w:rsid w:val="00B358DA"/>
    <w:rsid w:val="00B40D26"/>
    <w:rsid w:val="00B43BE0"/>
    <w:rsid w:val="00B603FF"/>
    <w:rsid w:val="00B61F6B"/>
    <w:rsid w:val="00B74AAE"/>
    <w:rsid w:val="00B762FF"/>
    <w:rsid w:val="00B80EEE"/>
    <w:rsid w:val="00BB492F"/>
    <w:rsid w:val="00BC52C8"/>
    <w:rsid w:val="00BD0256"/>
    <w:rsid w:val="00BD5DE5"/>
    <w:rsid w:val="00BD669F"/>
    <w:rsid w:val="00BD70DD"/>
    <w:rsid w:val="00C0136D"/>
    <w:rsid w:val="00C015E6"/>
    <w:rsid w:val="00C22202"/>
    <w:rsid w:val="00C23730"/>
    <w:rsid w:val="00C25561"/>
    <w:rsid w:val="00C25583"/>
    <w:rsid w:val="00C3340C"/>
    <w:rsid w:val="00C3354C"/>
    <w:rsid w:val="00C61474"/>
    <w:rsid w:val="00C642F9"/>
    <w:rsid w:val="00C6449A"/>
    <w:rsid w:val="00C70309"/>
    <w:rsid w:val="00C75009"/>
    <w:rsid w:val="00C80287"/>
    <w:rsid w:val="00C8117F"/>
    <w:rsid w:val="00CA19F8"/>
    <w:rsid w:val="00CA2FD7"/>
    <w:rsid w:val="00CA4444"/>
    <w:rsid w:val="00CA589B"/>
    <w:rsid w:val="00CA5F93"/>
    <w:rsid w:val="00CC2433"/>
    <w:rsid w:val="00CC35D0"/>
    <w:rsid w:val="00CC4698"/>
    <w:rsid w:val="00CD214A"/>
    <w:rsid w:val="00CD2EC2"/>
    <w:rsid w:val="00CD39FD"/>
    <w:rsid w:val="00D03243"/>
    <w:rsid w:val="00D21714"/>
    <w:rsid w:val="00D23C3E"/>
    <w:rsid w:val="00D27B6D"/>
    <w:rsid w:val="00D30D1A"/>
    <w:rsid w:val="00D31847"/>
    <w:rsid w:val="00D40707"/>
    <w:rsid w:val="00D50969"/>
    <w:rsid w:val="00D55013"/>
    <w:rsid w:val="00D67A3E"/>
    <w:rsid w:val="00D733E3"/>
    <w:rsid w:val="00D8360E"/>
    <w:rsid w:val="00D95725"/>
    <w:rsid w:val="00D97DE7"/>
    <w:rsid w:val="00DB1765"/>
    <w:rsid w:val="00DB23BD"/>
    <w:rsid w:val="00DC08A9"/>
    <w:rsid w:val="00DC6E96"/>
    <w:rsid w:val="00DC7F52"/>
    <w:rsid w:val="00DD5501"/>
    <w:rsid w:val="00DE1520"/>
    <w:rsid w:val="00DE26C7"/>
    <w:rsid w:val="00DF2AC0"/>
    <w:rsid w:val="00DF41A1"/>
    <w:rsid w:val="00DF5970"/>
    <w:rsid w:val="00DF6E6B"/>
    <w:rsid w:val="00E03E7A"/>
    <w:rsid w:val="00E06E06"/>
    <w:rsid w:val="00E07A6C"/>
    <w:rsid w:val="00E25243"/>
    <w:rsid w:val="00E27F80"/>
    <w:rsid w:val="00E31BF4"/>
    <w:rsid w:val="00E35EC9"/>
    <w:rsid w:val="00E425E8"/>
    <w:rsid w:val="00E50B3A"/>
    <w:rsid w:val="00E727C9"/>
    <w:rsid w:val="00E82F31"/>
    <w:rsid w:val="00EA08A5"/>
    <w:rsid w:val="00ED1793"/>
    <w:rsid w:val="00ED3357"/>
    <w:rsid w:val="00ED7EA2"/>
    <w:rsid w:val="00EE3FB3"/>
    <w:rsid w:val="00EE6B0D"/>
    <w:rsid w:val="00EF13F9"/>
    <w:rsid w:val="00EF1A6A"/>
    <w:rsid w:val="00EF268C"/>
    <w:rsid w:val="00EF7300"/>
    <w:rsid w:val="00F012F9"/>
    <w:rsid w:val="00F219E2"/>
    <w:rsid w:val="00F22647"/>
    <w:rsid w:val="00F27071"/>
    <w:rsid w:val="00F326F3"/>
    <w:rsid w:val="00F37741"/>
    <w:rsid w:val="00F42259"/>
    <w:rsid w:val="00F47A5D"/>
    <w:rsid w:val="00F51ACF"/>
    <w:rsid w:val="00F55A9E"/>
    <w:rsid w:val="00F6345B"/>
    <w:rsid w:val="00F65FAA"/>
    <w:rsid w:val="00F770F7"/>
    <w:rsid w:val="00F83FA5"/>
    <w:rsid w:val="00F84371"/>
    <w:rsid w:val="00F86D4B"/>
    <w:rsid w:val="00F97C3D"/>
    <w:rsid w:val="00FA048B"/>
    <w:rsid w:val="00FA6039"/>
    <w:rsid w:val="00FA682C"/>
    <w:rsid w:val="00FA77B2"/>
    <w:rsid w:val="00FB2DCE"/>
    <w:rsid w:val="00FB6809"/>
    <w:rsid w:val="00FC4FF6"/>
    <w:rsid w:val="00FC5F4B"/>
    <w:rsid w:val="00FC6806"/>
    <w:rsid w:val="00FD6CEB"/>
    <w:rsid w:val="00FE3B24"/>
    <w:rsid w:val="00FE61B1"/>
    <w:rsid w:val="00FF07D4"/>
    <w:rsid w:val="00FF4A0E"/>
    <w:rsid w:val="01BE8B11"/>
    <w:rsid w:val="02A1A100"/>
    <w:rsid w:val="0724A049"/>
    <w:rsid w:val="08243D08"/>
    <w:rsid w:val="1104936F"/>
    <w:rsid w:val="119BB38C"/>
    <w:rsid w:val="18838E02"/>
    <w:rsid w:val="190FA554"/>
    <w:rsid w:val="19E25264"/>
    <w:rsid w:val="1A924D58"/>
    <w:rsid w:val="1AAB0952"/>
    <w:rsid w:val="1B7E22C5"/>
    <w:rsid w:val="28727D06"/>
    <w:rsid w:val="2B9C3415"/>
    <w:rsid w:val="2BBB8295"/>
    <w:rsid w:val="2C3E9210"/>
    <w:rsid w:val="2ED455DD"/>
    <w:rsid w:val="311D08BA"/>
    <w:rsid w:val="35D52395"/>
    <w:rsid w:val="3857C0EA"/>
    <w:rsid w:val="392A45AE"/>
    <w:rsid w:val="3DE308EA"/>
    <w:rsid w:val="3E8171CA"/>
    <w:rsid w:val="41F54E96"/>
    <w:rsid w:val="426AB776"/>
    <w:rsid w:val="434F1DCE"/>
    <w:rsid w:val="4633D4BB"/>
    <w:rsid w:val="503E7A6E"/>
    <w:rsid w:val="51B4DDE4"/>
    <w:rsid w:val="542F1BAC"/>
    <w:rsid w:val="5647B939"/>
    <w:rsid w:val="59C683B4"/>
    <w:rsid w:val="5B501C5D"/>
    <w:rsid w:val="5C4EC8CD"/>
    <w:rsid w:val="63C4A438"/>
    <w:rsid w:val="6759CCCE"/>
    <w:rsid w:val="680A0059"/>
    <w:rsid w:val="697943EF"/>
    <w:rsid w:val="6AEEDD1B"/>
    <w:rsid w:val="6EAD1A59"/>
    <w:rsid w:val="72FD1A66"/>
    <w:rsid w:val="73CEA70C"/>
    <w:rsid w:val="7EC04214"/>
    <w:rsid w:val="7F6A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0110B"/>
  <w15:chartTrackingRefBased/>
  <w15:docId w15:val="{854BB0A3-8F2F-4C1A-8790-5D8FE81B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70"/>
    <w:pPr>
      <w:spacing w:after="0" w:line="280" w:lineRule="exact"/>
    </w:pPr>
    <w:rPr>
      <w:rFonts w:ascii="Arial" w:hAnsi="Arial"/>
    </w:rPr>
  </w:style>
  <w:style w:type="paragraph" w:styleId="Heading2">
    <w:name w:val="heading 2"/>
    <w:basedOn w:val="Normal"/>
    <w:next w:val="Normal"/>
    <w:link w:val="Heading2Char"/>
    <w:uiPriority w:val="9"/>
    <w:unhideWhenUsed/>
    <w:rsid w:val="00BD5DE5"/>
    <w:pPr>
      <w:keepNext/>
      <w:keepLines/>
      <w:spacing w:after="80" w:line="300" w:lineRule="auto"/>
      <w:outlineLvl w:val="1"/>
    </w:pPr>
    <w:rPr>
      <w:rFonts w:eastAsia="Times New Roman" w:cs="Times New Roman"/>
      <w:b/>
      <w:color w:val="012D7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AEB"/>
    <w:pPr>
      <w:tabs>
        <w:tab w:val="center" w:pos="4680"/>
        <w:tab w:val="right" w:pos="9360"/>
      </w:tabs>
      <w:spacing w:line="240" w:lineRule="auto"/>
    </w:pPr>
  </w:style>
  <w:style w:type="character" w:customStyle="1" w:styleId="HeaderChar">
    <w:name w:val="Header Char"/>
    <w:basedOn w:val="DefaultParagraphFont"/>
    <w:link w:val="Header"/>
    <w:uiPriority w:val="99"/>
    <w:rsid w:val="000D0AEB"/>
  </w:style>
  <w:style w:type="paragraph" w:styleId="Footer">
    <w:name w:val="footer"/>
    <w:basedOn w:val="Normal"/>
    <w:link w:val="FooterChar"/>
    <w:uiPriority w:val="99"/>
    <w:unhideWhenUsed/>
    <w:rsid w:val="000D0AEB"/>
    <w:pPr>
      <w:tabs>
        <w:tab w:val="center" w:pos="4680"/>
        <w:tab w:val="right" w:pos="9360"/>
      </w:tabs>
      <w:spacing w:line="240" w:lineRule="auto"/>
    </w:pPr>
  </w:style>
  <w:style w:type="character" w:customStyle="1" w:styleId="FooterChar">
    <w:name w:val="Footer Char"/>
    <w:basedOn w:val="DefaultParagraphFont"/>
    <w:link w:val="Footer"/>
    <w:uiPriority w:val="99"/>
    <w:rsid w:val="000D0AEB"/>
  </w:style>
  <w:style w:type="paragraph" w:styleId="NormalWeb">
    <w:name w:val="Normal (Web)"/>
    <w:basedOn w:val="Normal"/>
    <w:uiPriority w:val="99"/>
    <w:semiHidden/>
    <w:unhideWhenUsed/>
    <w:rsid w:val="000D0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750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750504"/>
  </w:style>
  <w:style w:type="character" w:customStyle="1" w:styleId="eop">
    <w:name w:val="eop"/>
    <w:basedOn w:val="DefaultParagraphFont"/>
    <w:rsid w:val="00750504"/>
  </w:style>
  <w:style w:type="paragraph" w:customStyle="1" w:styleId="paragraph">
    <w:name w:val="paragraph"/>
    <w:basedOn w:val="Normal"/>
    <w:link w:val="paragraphChar"/>
    <w:rsid w:val="00750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47896351">
    <w:name w:val="scxw147896351"/>
    <w:basedOn w:val="DefaultParagraphFont"/>
    <w:rsid w:val="00750504"/>
  </w:style>
  <w:style w:type="paragraph" w:customStyle="1" w:styleId="JDHeading">
    <w:name w:val="JD Heading"/>
    <w:basedOn w:val="Default"/>
    <w:link w:val="JDHeadingChar"/>
    <w:qFormat/>
    <w:rsid w:val="004B3892"/>
    <w:pPr>
      <w:outlineLvl w:val="0"/>
    </w:pPr>
    <w:rPr>
      <w:rFonts w:asciiTheme="majorHAnsi" w:hAnsiTheme="majorHAnsi" w:cstheme="majorHAnsi"/>
      <w:b/>
      <w:bCs/>
      <w:u w:val="single"/>
    </w:rPr>
  </w:style>
  <w:style w:type="paragraph" w:customStyle="1" w:styleId="JDBody">
    <w:name w:val="JD Body"/>
    <w:basedOn w:val="paragraph"/>
    <w:link w:val="JDBodyChar"/>
    <w:qFormat/>
    <w:rsid w:val="004B3892"/>
    <w:pPr>
      <w:spacing w:before="0" w:beforeAutospacing="0" w:after="0" w:afterAutospacing="0"/>
      <w:jc w:val="both"/>
      <w:textAlignment w:val="baseline"/>
    </w:pPr>
    <w:rPr>
      <w:rFonts w:asciiTheme="majorHAnsi" w:hAnsiTheme="majorHAnsi" w:cstheme="majorHAnsi"/>
      <w:sz w:val="21"/>
      <w:szCs w:val="21"/>
    </w:rPr>
  </w:style>
  <w:style w:type="character" w:customStyle="1" w:styleId="DefaultChar">
    <w:name w:val="Default Char"/>
    <w:basedOn w:val="DefaultParagraphFont"/>
    <w:link w:val="Default"/>
    <w:rsid w:val="004B3892"/>
    <w:rPr>
      <w:rFonts w:ascii="Times New Roman" w:hAnsi="Times New Roman" w:cs="Times New Roman"/>
      <w:color w:val="000000"/>
      <w:sz w:val="24"/>
      <w:szCs w:val="24"/>
    </w:rPr>
  </w:style>
  <w:style w:type="character" w:customStyle="1" w:styleId="JDHeadingChar">
    <w:name w:val="JD Heading Char"/>
    <w:basedOn w:val="DefaultChar"/>
    <w:link w:val="JDHeading"/>
    <w:rsid w:val="004B3892"/>
    <w:rPr>
      <w:rFonts w:asciiTheme="majorHAnsi" w:hAnsiTheme="majorHAnsi" w:cstheme="majorHAnsi"/>
      <w:b/>
      <w:bCs/>
      <w:color w:val="000000"/>
      <w:sz w:val="24"/>
      <w:szCs w:val="24"/>
      <w:u w:val="single"/>
    </w:rPr>
  </w:style>
  <w:style w:type="paragraph" w:customStyle="1" w:styleId="JDBullets">
    <w:name w:val="JD Bullets"/>
    <w:basedOn w:val="paragraph"/>
    <w:link w:val="JDBulletsChar"/>
    <w:qFormat/>
    <w:rsid w:val="004B3892"/>
    <w:pPr>
      <w:numPr>
        <w:numId w:val="1"/>
      </w:numPr>
      <w:spacing w:before="0" w:beforeAutospacing="0" w:after="0" w:afterAutospacing="0"/>
      <w:textAlignment w:val="baseline"/>
    </w:pPr>
    <w:rPr>
      <w:rFonts w:asciiTheme="majorHAnsi" w:hAnsiTheme="majorHAnsi" w:cstheme="majorHAnsi"/>
      <w:sz w:val="21"/>
      <w:szCs w:val="21"/>
    </w:rPr>
  </w:style>
  <w:style w:type="character" w:customStyle="1" w:styleId="paragraphChar">
    <w:name w:val="paragraph Char"/>
    <w:basedOn w:val="DefaultParagraphFont"/>
    <w:link w:val="paragraph"/>
    <w:rsid w:val="004B3892"/>
    <w:rPr>
      <w:rFonts w:ascii="Times New Roman" w:eastAsia="Times New Roman" w:hAnsi="Times New Roman" w:cs="Times New Roman"/>
      <w:sz w:val="24"/>
      <w:szCs w:val="24"/>
    </w:rPr>
  </w:style>
  <w:style w:type="character" w:customStyle="1" w:styleId="JDBodyChar">
    <w:name w:val="JD Body Char"/>
    <w:basedOn w:val="paragraphChar"/>
    <w:link w:val="JDBody"/>
    <w:rsid w:val="004B3892"/>
    <w:rPr>
      <w:rFonts w:asciiTheme="majorHAnsi" w:eastAsia="Times New Roman" w:hAnsiTheme="majorHAnsi" w:cstheme="majorHAnsi"/>
      <w:sz w:val="21"/>
      <w:szCs w:val="21"/>
    </w:rPr>
  </w:style>
  <w:style w:type="character" w:customStyle="1" w:styleId="spellingerror">
    <w:name w:val="spellingerror"/>
    <w:basedOn w:val="DefaultParagraphFont"/>
    <w:rsid w:val="004B3892"/>
  </w:style>
  <w:style w:type="character" w:customStyle="1" w:styleId="JDBulletsChar">
    <w:name w:val="JD Bullets Char"/>
    <w:basedOn w:val="paragraphChar"/>
    <w:link w:val="JDBullets"/>
    <w:rsid w:val="004B3892"/>
    <w:rPr>
      <w:rFonts w:asciiTheme="majorHAnsi" w:eastAsia="Times New Roman" w:hAnsiTheme="majorHAnsi" w:cstheme="majorHAnsi"/>
      <w:sz w:val="21"/>
      <w:szCs w:val="21"/>
    </w:rPr>
  </w:style>
  <w:style w:type="paragraph" w:styleId="ListParagraph">
    <w:name w:val="List Paragraph"/>
    <w:basedOn w:val="Normal"/>
    <w:uiPriority w:val="34"/>
    <w:qFormat/>
    <w:rsid w:val="0086589F"/>
    <w:pPr>
      <w:spacing w:after="160" w:line="256"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FC5F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4B"/>
    <w:rPr>
      <w:rFonts w:ascii="Segoe UI" w:hAnsi="Segoe UI" w:cs="Segoe UI"/>
      <w:sz w:val="18"/>
      <w:szCs w:val="18"/>
    </w:rPr>
  </w:style>
  <w:style w:type="character" w:customStyle="1" w:styleId="Heading2Char">
    <w:name w:val="Heading 2 Char"/>
    <w:basedOn w:val="DefaultParagraphFont"/>
    <w:link w:val="Heading2"/>
    <w:uiPriority w:val="9"/>
    <w:rsid w:val="00BD5DE5"/>
    <w:rPr>
      <w:rFonts w:ascii="Arial" w:eastAsia="Times New Roman" w:hAnsi="Arial" w:cs="Times New Roman"/>
      <w:b/>
      <w:color w:val="012D73"/>
      <w:sz w:val="24"/>
      <w:szCs w:val="26"/>
    </w:rPr>
  </w:style>
  <w:style w:type="paragraph" w:styleId="Title">
    <w:name w:val="Title"/>
    <w:basedOn w:val="Normal"/>
    <w:next w:val="Normal"/>
    <w:link w:val="TitleChar"/>
    <w:uiPriority w:val="10"/>
    <w:qFormat/>
    <w:rsid w:val="00BD5DE5"/>
    <w:pPr>
      <w:spacing w:line="240" w:lineRule="auto"/>
      <w:contextualSpacing/>
    </w:pPr>
    <w:rPr>
      <w:rFonts w:eastAsia="Times New Roman" w:cs="Times New Roman"/>
      <w:b/>
      <w:color w:val="012D73"/>
      <w:spacing w:val="-10"/>
      <w:kern w:val="28"/>
      <w:sz w:val="52"/>
      <w:szCs w:val="56"/>
    </w:rPr>
  </w:style>
  <w:style w:type="character" w:customStyle="1" w:styleId="TitleChar">
    <w:name w:val="Title Char"/>
    <w:basedOn w:val="DefaultParagraphFont"/>
    <w:link w:val="Title"/>
    <w:uiPriority w:val="10"/>
    <w:rsid w:val="00BD5DE5"/>
    <w:rPr>
      <w:rFonts w:ascii="Arial" w:eastAsia="Times New Roman" w:hAnsi="Arial" w:cs="Times New Roman"/>
      <w:b/>
      <w:color w:val="012D73"/>
      <w:spacing w:val="-10"/>
      <w:kern w:val="28"/>
      <w:sz w:val="52"/>
      <w:szCs w:val="56"/>
    </w:rPr>
  </w:style>
  <w:style w:type="paragraph" w:customStyle="1" w:styleId="Heading2Style">
    <w:name w:val="Heading 2 Style"/>
    <w:basedOn w:val="Normal"/>
    <w:next w:val="Normal"/>
    <w:qFormat/>
    <w:rsid w:val="00BD5DE5"/>
    <w:pPr>
      <w:spacing w:after="80" w:line="276" w:lineRule="auto"/>
    </w:pPr>
    <w:rPr>
      <w:rFonts w:eastAsia="Arial" w:cs="Times New Roman"/>
      <w:b/>
      <w:color w:val="012D73"/>
      <w:sz w:val="24"/>
      <w:szCs w:val="24"/>
    </w:rPr>
  </w:style>
  <w:style w:type="table" w:styleId="TableGrid">
    <w:name w:val="Table Grid"/>
    <w:basedOn w:val="TableNormal"/>
    <w:uiPriority w:val="39"/>
    <w:rsid w:val="001F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51ACF"/>
    <w:pPr>
      <w:spacing w:after="0" w:line="240" w:lineRule="auto"/>
    </w:pPr>
    <w:tblPr>
      <w:tblStyleRowBandSize w:val="1"/>
      <w:tblStyleColBandSize w:val="1"/>
      <w:tblBorders>
        <w:top w:val="single" w:sz="4" w:space="0" w:color="93A6CD" w:themeColor="accent1" w:themeTint="99"/>
        <w:left w:val="single" w:sz="4" w:space="0" w:color="93A6CD" w:themeColor="accent1" w:themeTint="99"/>
        <w:bottom w:val="single" w:sz="4" w:space="0" w:color="93A6CD" w:themeColor="accent1" w:themeTint="99"/>
        <w:right w:val="single" w:sz="4" w:space="0" w:color="93A6CD" w:themeColor="accent1" w:themeTint="99"/>
        <w:insideH w:val="single" w:sz="4" w:space="0" w:color="93A6CD" w:themeColor="accent1" w:themeTint="99"/>
        <w:insideV w:val="single" w:sz="4" w:space="0" w:color="93A6CD" w:themeColor="accent1" w:themeTint="99"/>
      </w:tblBorders>
    </w:tblPr>
    <w:tblStylePr w:type="firstRow">
      <w:rPr>
        <w:b/>
        <w:bCs/>
        <w:color w:val="FFFFFF" w:themeColor="background1"/>
      </w:rPr>
      <w:tblPr/>
      <w:tcPr>
        <w:tcBorders>
          <w:top w:val="single" w:sz="4" w:space="0" w:color="4F6DA9" w:themeColor="accent1"/>
          <w:left w:val="single" w:sz="4" w:space="0" w:color="4F6DA9" w:themeColor="accent1"/>
          <w:bottom w:val="single" w:sz="4" w:space="0" w:color="4F6DA9" w:themeColor="accent1"/>
          <w:right w:val="single" w:sz="4" w:space="0" w:color="4F6DA9" w:themeColor="accent1"/>
          <w:insideH w:val="nil"/>
          <w:insideV w:val="nil"/>
        </w:tcBorders>
        <w:shd w:val="clear" w:color="auto" w:fill="4F6DA9" w:themeFill="accent1"/>
      </w:tcPr>
    </w:tblStylePr>
    <w:tblStylePr w:type="lastRow">
      <w:rPr>
        <w:b/>
        <w:bCs/>
      </w:rPr>
      <w:tblPr/>
      <w:tcPr>
        <w:tcBorders>
          <w:top w:val="double" w:sz="4" w:space="0" w:color="4F6DA9" w:themeColor="accent1"/>
        </w:tcBorders>
      </w:tcPr>
    </w:tblStylePr>
    <w:tblStylePr w:type="firstCol">
      <w:rPr>
        <w:b/>
        <w:bCs/>
      </w:rPr>
    </w:tblStylePr>
    <w:tblStylePr w:type="lastCol">
      <w:rPr>
        <w:b/>
        <w:bCs/>
      </w:rPr>
    </w:tblStylePr>
    <w:tblStylePr w:type="band1Vert">
      <w:tblPr/>
      <w:tcPr>
        <w:shd w:val="clear" w:color="auto" w:fill="DBE1EE" w:themeFill="accent1" w:themeFillTint="33"/>
      </w:tcPr>
    </w:tblStylePr>
    <w:tblStylePr w:type="band1Horz">
      <w:tblPr/>
      <w:tcPr>
        <w:shd w:val="clear" w:color="auto" w:fill="DBE1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810">
      <w:bodyDiv w:val="1"/>
      <w:marLeft w:val="0"/>
      <w:marRight w:val="0"/>
      <w:marTop w:val="0"/>
      <w:marBottom w:val="0"/>
      <w:divBdr>
        <w:top w:val="none" w:sz="0" w:space="0" w:color="auto"/>
        <w:left w:val="none" w:sz="0" w:space="0" w:color="auto"/>
        <w:bottom w:val="none" w:sz="0" w:space="0" w:color="auto"/>
        <w:right w:val="none" w:sz="0" w:space="0" w:color="auto"/>
      </w:divBdr>
    </w:div>
    <w:div w:id="144786227">
      <w:bodyDiv w:val="1"/>
      <w:marLeft w:val="0"/>
      <w:marRight w:val="0"/>
      <w:marTop w:val="0"/>
      <w:marBottom w:val="0"/>
      <w:divBdr>
        <w:top w:val="none" w:sz="0" w:space="0" w:color="auto"/>
        <w:left w:val="none" w:sz="0" w:space="0" w:color="auto"/>
        <w:bottom w:val="none" w:sz="0" w:space="0" w:color="auto"/>
        <w:right w:val="none" w:sz="0" w:space="0" w:color="auto"/>
      </w:divBdr>
    </w:div>
    <w:div w:id="272902852">
      <w:bodyDiv w:val="1"/>
      <w:marLeft w:val="0"/>
      <w:marRight w:val="0"/>
      <w:marTop w:val="0"/>
      <w:marBottom w:val="0"/>
      <w:divBdr>
        <w:top w:val="none" w:sz="0" w:space="0" w:color="auto"/>
        <w:left w:val="none" w:sz="0" w:space="0" w:color="auto"/>
        <w:bottom w:val="none" w:sz="0" w:space="0" w:color="auto"/>
        <w:right w:val="none" w:sz="0" w:space="0" w:color="auto"/>
      </w:divBdr>
    </w:div>
    <w:div w:id="275984703">
      <w:bodyDiv w:val="1"/>
      <w:marLeft w:val="0"/>
      <w:marRight w:val="0"/>
      <w:marTop w:val="0"/>
      <w:marBottom w:val="0"/>
      <w:divBdr>
        <w:top w:val="none" w:sz="0" w:space="0" w:color="auto"/>
        <w:left w:val="none" w:sz="0" w:space="0" w:color="auto"/>
        <w:bottom w:val="none" w:sz="0" w:space="0" w:color="auto"/>
        <w:right w:val="none" w:sz="0" w:space="0" w:color="auto"/>
      </w:divBdr>
    </w:div>
    <w:div w:id="328950700">
      <w:bodyDiv w:val="1"/>
      <w:marLeft w:val="0"/>
      <w:marRight w:val="0"/>
      <w:marTop w:val="0"/>
      <w:marBottom w:val="0"/>
      <w:divBdr>
        <w:top w:val="none" w:sz="0" w:space="0" w:color="auto"/>
        <w:left w:val="none" w:sz="0" w:space="0" w:color="auto"/>
        <w:bottom w:val="none" w:sz="0" w:space="0" w:color="auto"/>
        <w:right w:val="none" w:sz="0" w:space="0" w:color="auto"/>
      </w:divBdr>
    </w:div>
    <w:div w:id="354695429">
      <w:bodyDiv w:val="1"/>
      <w:marLeft w:val="0"/>
      <w:marRight w:val="0"/>
      <w:marTop w:val="0"/>
      <w:marBottom w:val="0"/>
      <w:divBdr>
        <w:top w:val="none" w:sz="0" w:space="0" w:color="auto"/>
        <w:left w:val="none" w:sz="0" w:space="0" w:color="auto"/>
        <w:bottom w:val="none" w:sz="0" w:space="0" w:color="auto"/>
        <w:right w:val="none" w:sz="0" w:space="0" w:color="auto"/>
      </w:divBdr>
    </w:div>
    <w:div w:id="499925834">
      <w:bodyDiv w:val="1"/>
      <w:marLeft w:val="0"/>
      <w:marRight w:val="0"/>
      <w:marTop w:val="0"/>
      <w:marBottom w:val="0"/>
      <w:divBdr>
        <w:top w:val="none" w:sz="0" w:space="0" w:color="auto"/>
        <w:left w:val="none" w:sz="0" w:space="0" w:color="auto"/>
        <w:bottom w:val="none" w:sz="0" w:space="0" w:color="auto"/>
        <w:right w:val="none" w:sz="0" w:space="0" w:color="auto"/>
      </w:divBdr>
    </w:div>
    <w:div w:id="567887261">
      <w:bodyDiv w:val="1"/>
      <w:marLeft w:val="0"/>
      <w:marRight w:val="0"/>
      <w:marTop w:val="0"/>
      <w:marBottom w:val="0"/>
      <w:divBdr>
        <w:top w:val="none" w:sz="0" w:space="0" w:color="auto"/>
        <w:left w:val="none" w:sz="0" w:space="0" w:color="auto"/>
        <w:bottom w:val="none" w:sz="0" w:space="0" w:color="auto"/>
        <w:right w:val="none" w:sz="0" w:space="0" w:color="auto"/>
      </w:divBdr>
    </w:div>
    <w:div w:id="672297240">
      <w:bodyDiv w:val="1"/>
      <w:marLeft w:val="0"/>
      <w:marRight w:val="0"/>
      <w:marTop w:val="0"/>
      <w:marBottom w:val="0"/>
      <w:divBdr>
        <w:top w:val="none" w:sz="0" w:space="0" w:color="auto"/>
        <w:left w:val="none" w:sz="0" w:space="0" w:color="auto"/>
        <w:bottom w:val="none" w:sz="0" w:space="0" w:color="auto"/>
        <w:right w:val="none" w:sz="0" w:space="0" w:color="auto"/>
      </w:divBdr>
    </w:div>
    <w:div w:id="743839706">
      <w:bodyDiv w:val="1"/>
      <w:marLeft w:val="0"/>
      <w:marRight w:val="0"/>
      <w:marTop w:val="0"/>
      <w:marBottom w:val="0"/>
      <w:divBdr>
        <w:top w:val="none" w:sz="0" w:space="0" w:color="auto"/>
        <w:left w:val="none" w:sz="0" w:space="0" w:color="auto"/>
        <w:bottom w:val="none" w:sz="0" w:space="0" w:color="auto"/>
        <w:right w:val="none" w:sz="0" w:space="0" w:color="auto"/>
      </w:divBdr>
    </w:div>
    <w:div w:id="865021625">
      <w:bodyDiv w:val="1"/>
      <w:marLeft w:val="0"/>
      <w:marRight w:val="0"/>
      <w:marTop w:val="0"/>
      <w:marBottom w:val="0"/>
      <w:divBdr>
        <w:top w:val="none" w:sz="0" w:space="0" w:color="auto"/>
        <w:left w:val="none" w:sz="0" w:space="0" w:color="auto"/>
        <w:bottom w:val="none" w:sz="0" w:space="0" w:color="auto"/>
        <w:right w:val="none" w:sz="0" w:space="0" w:color="auto"/>
      </w:divBdr>
    </w:div>
    <w:div w:id="990405396">
      <w:bodyDiv w:val="1"/>
      <w:marLeft w:val="0"/>
      <w:marRight w:val="0"/>
      <w:marTop w:val="0"/>
      <w:marBottom w:val="0"/>
      <w:divBdr>
        <w:top w:val="none" w:sz="0" w:space="0" w:color="auto"/>
        <w:left w:val="none" w:sz="0" w:space="0" w:color="auto"/>
        <w:bottom w:val="none" w:sz="0" w:space="0" w:color="auto"/>
        <w:right w:val="none" w:sz="0" w:space="0" w:color="auto"/>
      </w:divBdr>
    </w:div>
    <w:div w:id="1091271317">
      <w:bodyDiv w:val="1"/>
      <w:marLeft w:val="0"/>
      <w:marRight w:val="0"/>
      <w:marTop w:val="0"/>
      <w:marBottom w:val="0"/>
      <w:divBdr>
        <w:top w:val="none" w:sz="0" w:space="0" w:color="auto"/>
        <w:left w:val="none" w:sz="0" w:space="0" w:color="auto"/>
        <w:bottom w:val="none" w:sz="0" w:space="0" w:color="auto"/>
        <w:right w:val="none" w:sz="0" w:space="0" w:color="auto"/>
      </w:divBdr>
    </w:div>
    <w:div w:id="1280720515">
      <w:bodyDiv w:val="1"/>
      <w:marLeft w:val="0"/>
      <w:marRight w:val="0"/>
      <w:marTop w:val="0"/>
      <w:marBottom w:val="0"/>
      <w:divBdr>
        <w:top w:val="none" w:sz="0" w:space="0" w:color="auto"/>
        <w:left w:val="none" w:sz="0" w:space="0" w:color="auto"/>
        <w:bottom w:val="none" w:sz="0" w:space="0" w:color="auto"/>
        <w:right w:val="none" w:sz="0" w:space="0" w:color="auto"/>
      </w:divBdr>
    </w:div>
    <w:div w:id="1299919388">
      <w:bodyDiv w:val="1"/>
      <w:marLeft w:val="0"/>
      <w:marRight w:val="0"/>
      <w:marTop w:val="0"/>
      <w:marBottom w:val="0"/>
      <w:divBdr>
        <w:top w:val="none" w:sz="0" w:space="0" w:color="auto"/>
        <w:left w:val="none" w:sz="0" w:space="0" w:color="auto"/>
        <w:bottom w:val="none" w:sz="0" w:space="0" w:color="auto"/>
        <w:right w:val="none" w:sz="0" w:space="0" w:color="auto"/>
      </w:divBdr>
    </w:div>
    <w:div w:id="1503618505">
      <w:bodyDiv w:val="1"/>
      <w:marLeft w:val="0"/>
      <w:marRight w:val="0"/>
      <w:marTop w:val="0"/>
      <w:marBottom w:val="0"/>
      <w:divBdr>
        <w:top w:val="none" w:sz="0" w:space="0" w:color="auto"/>
        <w:left w:val="none" w:sz="0" w:space="0" w:color="auto"/>
        <w:bottom w:val="none" w:sz="0" w:space="0" w:color="auto"/>
        <w:right w:val="none" w:sz="0" w:space="0" w:color="auto"/>
      </w:divBdr>
    </w:div>
    <w:div w:id="1641960591">
      <w:bodyDiv w:val="1"/>
      <w:marLeft w:val="0"/>
      <w:marRight w:val="0"/>
      <w:marTop w:val="0"/>
      <w:marBottom w:val="0"/>
      <w:divBdr>
        <w:top w:val="none" w:sz="0" w:space="0" w:color="auto"/>
        <w:left w:val="none" w:sz="0" w:space="0" w:color="auto"/>
        <w:bottom w:val="none" w:sz="0" w:space="0" w:color="auto"/>
        <w:right w:val="none" w:sz="0" w:space="0" w:color="auto"/>
      </w:divBdr>
    </w:div>
    <w:div w:id="1656488932">
      <w:bodyDiv w:val="1"/>
      <w:marLeft w:val="0"/>
      <w:marRight w:val="0"/>
      <w:marTop w:val="0"/>
      <w:marBottom w:val="0"/>
      <w:divBdr>
        <w:top w:val="none" w:sz="0" w:space="0" w:color="auto"/>
        <w:left w:val="none" w:sz="0" w:space="0" w:color="auto"/>
        <w:bottom w:val="none" w:sz="0" w:space="0" w:color="auto"/>
        <w:right w:val="none" w:sz="0" w:space="0" w:color="auto"/>
      </w:divBdr>
    </w:div>
    <w:div w:id="1782652097">
      <w:bodyDiv w:val="1"/>
      <w:marLeft w:val="0"/>
      <w:marRight w:val="0"/>
      <w:marTop w:val="0"/>
      <w:marBottom w:val="0"/>
      <w:divBdr>
        <w:top w:val="none" w:sz="0" w:space="0" w:color="auto"/>
        <w:left w:val="none" w:sz="0" w:space="0" w:color="auto"/>
        <w:bottom w:val="none" w:sz="0" w:space="0" w:color="auto"/>
        <w:right w:val="none" w:sz="0" w:space="0" w:color="auto"/>
      </w:divBdr>
    </w:div>
    <w:div w:id="1802109545">
      <w:bodyDiv w:val="1"/>
      <w:marLeft w:val="0"/>
      <w:marRight w:val="0"/>
      <w:marTop w:val="0"/>
      <w:marBottom w:val="0"/>
      <w:divBdr>
        <w:top w:val="none" w:sz="0" w:space="0" w:color="auto"/>
        <w:left w:val="none" w:sz="0" w:space="0" w:color="auto"/>
        <w:bottom w:val="none" w:sz="0" w:space="0" w:color="auto"/>
        <w:right w:val="none" w:sz="0" w:space="0" w:color="auto"/>
      </w:divBdr>
    </w:div>
    <w:div w:id="1816139855">
      <w:bodyDiv w:val="1"/>
      <w:marLeft w:val="0"/>
      <w:marRight w:val="0"/>
      <w:marTop w:val="0"/>
      <w:marBottom w:val="0"/>
      <w:divBdr>
        <w:top w:val="none" w:sz="0" w:space="0" w:color="auto"/>
        <w:left w:val="none" w:sz="0" w:space="0" w:color="auto"/>
        <w:bottom w:val="none" w:sz="0" w:space="0" w:color="auto"/>
        <w:right w:val="none" w:sz="0" w:space="0" w:color="auto"/>
      </w:divBdr>
    </w:div>
    <w:div w:id="1857384609">
      <w:bodyDiv w:val="1"/>
      <w:marLeft w:val="0"/>
      <w:marRight w:val="0"/>
      <w:marTop w:val="0"/>
      <w:marBottom w:val="0"/>
      <w:divBdr>
        <w:top w:val="none" w:sz="0" w:space="0" w:color="auto"/>
        <w:left w:val="none" w:sz="0" w:space="0" w:color="auto"/>
        <w:bottom w:val="none" w:sz="0" w:space="0" w:color="auto"/>
        <w:right w:val="none" w:sz="0" w:space="0" w:color="auto"/>
      </w:divBdr>
    </w:div>
    <w:div w:id="2027050488">
      <w:bodyDiv w:val="1"/>
      <w:marLeft w:val="0"/>
      <w:marRight w:val="0"/>
      <w:marTop w:val="0"/>
      <w:marBottom w:val="0"/>
      <w:divBdr>
        <w:top w:val="none" w:sz="0" w:space="0" w:color="auto"/>
        <w:left w:val="none" w:sz="0" w:space="0" w:color="auto"/>
        <w:bottom w:val="none" w:sz="0" w:space="0" w:color="auto"/>
        <w:right w:val="none" w:sz="0" w:space="0" w:color="auto"/>
      </w:divBdr>
    </w:div>
    <w:div w:id="20962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bbreviated COT">
      <a:dk1>
        <a:sysClr val="windowText" lastClr="000000"/>
      </a:dk1>
      <a:lt1>
        <a:sysClr val="window" lastClr="FFFFFF"/>
      </a:lt1>
      <a:dk2>
        <a:srgbClr val="012D73"/>
      </a:dk2>
      <a:lt2>
        <a:srgbClr val="E7E6E6"/>
      </a:lt2>
      <a:accent1>
        <a:srgbClr val="4F6DA9"/>
      </a:accent1>
      <a:accent2>
        <a:srgbClr val="FFC425"/>
      </a:accent2>
      <a:accent3>
        <a:srgbClr val="A5A5A5"/>
      </a:accent3>
      <a:accent4>
        <a:srgbClr val="FFC000"/>
      </a:accent4>
      <a:accent5>
        <a:srgbClr val="5B9BD5"/>
      </a:accent5>
      <a:accent6>
        <a:srgbClr val="70AD47"/>
      </a:accent6>
      <a:hlink>
        <a:srgbClr val="0563C1"/>
      </a:hlink>
      <a:folHlink>
        <a:srgbClr val="C6202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2FD7589C2BF47BD06F18E3CADB812" ma:contentTypeVersion="11" ma:contentTypeDescription="Create a new document." ma:contentTypeScope="" ma:versionID="ffda8d01b2ccc403cb0566654c101d2c">
  <xsd:schema xmlns:xsd="http://www.w3.org/2001/XMLSchema" xmlns:xs="http://www.w3.org/2001/XMLSchema" xmlns:p="http://schemas.microsoft.com/office/2006/metadata/properties" xmlns:ns3="7f3ce949-0939-483e-a55b-f71e43f1340f" xmlns:ns4="f3825589-b2db-4b3a-abc1-8a0a6fcb9443" targetNamespace="http://schemas.microsoft.com/office/2006/metadata/properties" ma:root="true" ma:fieldsID="73f892e8007065a1a0589d2ffce9fd2b" ns3:_="" ns4:_="">
    <xsd:import namespace="7f3ce949-0939-483e-a55b-f71e43f1340f"/>
    <xsd:import namespace="f3825589-b2db-4b3a-abc1-8a0a6fcb94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e949-0939-483e-a55b-f71e43f134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25589-b2db-4b3a-abc1-8a0a6fcb94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14BB-4484-4421-A7BE-0226196320B4}">
  <ds:schemaRefs>
    <ds:schemaRef ds:uri="http://schemas.microsoft.com/office/2006/metadata/properties"/>
    <ds:schemaRef ds:uri="http://schemas.microsoft.com/office/2006/documentManagement/types"/>
    <ds:schemaRef ds:uri="http://purl.org/dc/terms/"/>
    <ds:schemaRef ds:uri="7f3ce949-0939-483e-a55b-f71e43f1340f"/>
    <ds:schemaRef ds:uri="http://schemas.microsoft.com/office/infopath/2007/PartnerControls"/>
    <ds:schemaRef ds:uri="http://purl.org/dc/dcmitype/"/>
    <ds:schemaRef ds:uri="http://purl.org/dc/elements/1.1/"/>
    <ds:schemaRef ds:uri="http://schemas.openxmlformats.org/package/2006/metadata/core-properties"/>
    <ds:schemaRef ds:uri="f3825589-b2db-4b3a-abc1-8a0a6fcb9443"/>
    <ds:schemaRef ds:uri="http://www.w3.org/XML/1998/namespace"/>
  </ds:schemaRefs>
</ds:datastoreItem>
</file>

<file path=customXml/itemProps2.xml><?xml version="1.0" encoding="utf-8"?>
<ds:datastoreItem xmlns:ds="http://schemas.openxmlformats.org/officeDocument/2006/customXml" ds:itemID="{8DC172E1-F724-4FB8-B2CD-EB352B84345C}">
  <ds:schemaRefs>
    <ds:schemaRef ds:uri="http://schemas.microsoft.com/sharepoint/v3/contenttype/forms"/>
  </ds:schemaRefs>
</ds:datastoreItem>
</file>

<file path=customXml/itemProps3.xml><?xml version="1.0" encoding="utf-8"?>
<ds:datastoreItem xmlns:ds="http://schemas.openxmlformats.org/officeDocument/2006/customXml" ds:itemID="{687BA5E0-A20F-4EDB-BE04-3889C4B0A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e949-0939-483e-a55b-f71e43f1340f"/>
    <ds:schemaRef ds:uri="f3825589-b2db-4b3a-abc1-8a0a6fcb9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Toay, Jonah</dc:creator>
  <cp:keywords/>
  <dc:description/>
  <cp:lastModifiedBy>Toay, Jonah</cp:lastModifiedBy>
  <cp:revision>2</cp:revision>
  <cp:lastPrinted>2021-06-14T20:33:00Z</cp:lastPrinted>
  <dcterms:created xsi:type="dcterms:W3CDTF">2022-03-18T16:04:00Z</dcterms:created>
  <dcterms:modified xsi:type="dcterms:W3CDTF">2022-03-18T16:04:00Z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0x0101006C02FD7589C2BF47BD06F18E3CADB812</vt:lpwstr>
  </property>
</Properties>
</file>